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F1062" w14:textId="5DF7B846" w:rsidR="00830A79" w:rsidRDefault="00B07DE3" w:rsidP="00056FF3">
      <w:pPr>
        <w:spacing w:before="240" w:after="360" w:line="360" w:lineRule="auto"/>
        <w:jc w:val="left"/>
        <w:rPr>
          <w:b/>
        </w:rPr>
      </w:pPr>
      <w:r>
        <w:rPr>
          <w:b/>
        </w:rPr>
        <w:t xml:space="preserve">PŘÍLOHA Č. 1 </w:t>
      </w:r>
      <w:r w:rsidR="009D2047">
        <w:rPr>
          <w:b/>
        </w:rPr>
        <w:t>DOPLŇUJÍCÍ</w:t>
      </w:r>
      <w:r w:rsidR="002A326C">
        <w:rPr>
          <w:b/>
        </w:rPr>
        <w:t xml:space="preserve"> INFORMACE KE KAPITOLE 3</w:t>
      </w:r>
      <w:r w:rsidR="004D0D65">
        <w:rPr>
          <w:b/>
        </w:rPr>
        <w:t>.1</w:t>
      </w:r>
      <w:r w:rsidR="002A326C">
        <w:rPr>
          <w:b/>
        </w:rPr>
        <w:t xml:space="preserve"> PŘEHLED </w:t>
      </w:r>
      <w:r w:rsidR="00731E02">
        <w:rPr>
          <w:b/>
        </w:rPr>
        <w:t>IMPLEMENTACE</w:t>
      </w:r>
      <w:r w:rsidR="002A326C">
        <w:rPr>
          <w:b/>
        </w:rPr>
        <w:t xml:space="preserve"> </w:t>
      </w:r>
    </w:p>
    <w:tbl>
      <w:tblPr>
        <w:tblStyle w:val="Mkatabulky"/>
        <w:tblW w:w="13921" w:type="dxa"/>
        <w:tblInd w:w="108" w:type="dxa"/>
        <w:tblLayout w:type="fixed"/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1378"/>
        <w:gridCol w:w="2478"/>
        <w:gridCol w:w="10065"/>
      </w:tblGrid>
      <w:tr w:rsidR="002A326C" w:rsidRPr="00096506" w14:paraId="1A4F1066" w14:textId="77777777" w:rsidTr="00BA75D4">
        <w:trPr>
          <w:trHeight w:val="765"/>
        </w:trPr>
        <w:tc>
          <w:tcPr>
            <w:tcW w:w="1378" w:type="dxa"/>
            <w:shd w:val="clear" w:color="auto" w:fill="CCCCCC" w:themeFill="text1" w:themeFillTint="33"/>
            <w:vAlign w:val="center"/>
          </w:tcPr>
          <w:p w14:paraId="1A4F1063" w14:textId="77777777" w:rsidR="002A326C" w:rsidRPr="00096506" w:rsidRDefault="002A326C" w:rsidP="00AA673F">
            <w:pPr>
              <w:spacing w:after="120"/>
              <w:ind w:left="181"/>
              <w:rPr>
                <w:rFonts w:ascii="Arial" w:hAnsi="Arial" w:cs="Arial"/>
                <w:b/>
                <w:sz w:val="20"/>
                <w:szCs w:val="20"/>
              </w:rPr>
            </w:pPr>
            <w:r w:rsidRPr="00096506"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2478" w:type="dxa"/>
            <w:shd w:val="clear" w:color="auto" w:fill="CCCCCC" w:themeFill="text1" w:themeFillTint="33"/>
            <w:vAlign w:val="center"/>
          </w:tcPr>
          <w:p w14:paraId="1A4F1064" w14:textId="77777777" w:rsidR="002A326C" w:rsidRPr="00096506" w:rsidRDefault="002A326C" w:rsidP="00AA673F">
            <w:pPr>
              <w:spacing w:after="120"/>
              <w:ind w:left="79" w:right="103"/>
              <w:rPr>
                <w:rFonts w:ascii="Arial" w:hAnsi="Arial" w:cs="Arial"/>
                <w:b/>
                <w:sz w:val="20"/>
                <w:szCs w:val="20"/>
              </w:rPr>
            </w:pPr>
            <w:r w:rsidRPr="00096506">
              <w:rPr>
                <w:rFonts w:ascii="Arial" w:hAnsi="Arial" w:cs="Arial"/>
                <w:b/>
                <w:sz w:val="20"/>
                <w:szCs w:val="20"/>
              </w:rPr>
              <w:t>Prioritní osa</w:t>
            </w:r>
          </w:p>
        </w:tc>
        <w:tc>
          <w:tcPr>
            <w:tcW w:w="10065" w:type="dxa"/>
            <w:shd w:val="clear" w:color="auto" w:fill="CCCCCC" w:themeFill="text1" w:themeFillTint="33"/>
            <w:vAlign w:val="center"/>
          </w:tcPr>
          <w:p w14:paraId="1A4F1065" w14:textId="77777777" w:rsidR="002A326C" w:rsidRPr="00096506" w:rsidRDefault="00013DB0" w:rsidP="00AA673F">
            <w:pPr>
              <w:autoSpaceDE w:val="0"/>
              <w:autoSpaceDN w:val="0"/>
              <w:adjustRightInd w:val="0"/>
              <w:spacing w:after="120"/>
              <w:ind w:left="136" w:right="23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2A326C" w:rsidRPr="00096506">
              <w:rPr>
                <w:rFonts w:ascii="Arial" w:hAnsi="Arial" w:cs="Arial"/>
                <w:b/>
                <w:sz w:val="20"/>
                <w:szCs w:val="20"/>
              </w:rPr>
              <w:t>líčové informace o provádění prioritní osy s odkazem na klíčov</w:t>
            </w:r>
            <w:r>
              <w:rPr>
                <w:rFonts w:ascii="Arial" w:hAnsi="Arial" w:cs="Arial"/>
                <w:b/>
                <w:sz w:val="20"/>
                <w:szCs w:val="20"/>
              </w:rPr>
              <w:t>é události, významné problémy a </w:t>
            </w:r>
            <w:r w:rsidR="002A326C" w:rsidRPr="00096506">
              <w:rPr>
                <w:rFonts w:ascii="Arial" w:hAnsi="Arial" w:cs="Arial"/>
                <w:b/>
                <w:sz w:val="20"/>
                <w:szCs w:val="20"/>
              </w:rPr>
              <w:t>opatření přijatá k jejich odstranění</w:t>
            </w:r>
          </w:p>
        </w:tc>
      </w:tr>
      <w:tr w:rsidR="002A326C" w:rsidRPr="00096506" w14:paraId="1A4F1099" w14:textId="77777777" w:rsidTr="00BA75D4">
        <w:trPr>
          <w:trHeight w:val="6548"/>
        </w:trPr>
        <w:tc>
          <w:tcPr>
            <w:tcW w:w="1378" w:type="dxa"/>
            <w:vAlign w:val="center"/>
          </w:tcPr>
          <w:p w14:paraId="1A4F1067" w14:textId="77777777" w:rsidR="002A326C" w:rsidRPr="00096506" w:rsidRDefault="002A326C" w:rsidP="002A326C">
            <w:pPr>
              <w:ind w:left="181"/>
              <w:rPr>
                <w:rFonts w:ascii="Arial" w:hAnsi="Arial" w:cs="Arial"/>
                <w:sz w:val="20"/>
                <w:szCs w:val="20"/>
              </w:rPr>
            </w:pPr>
            <w:r w:rsidRPr="00096506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2478" w:type="dxa"/>
            <w:vAlign w:val="center"/>
          </w:tcPr>
          <w:p w14:paraId="1A4F1068" w14:textId="77777777" w:rsidR="002A326C" w:rsidRPr="002F7810" w:rsidRDefault="002A326C" w:rsidP="00AA673F">
            <w:pPr>
              <w:ind w:left="79" w:right="10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F7810">
              <w:rPr>
                <w:rFonts w:ascii="Arial" w:hAnsi="Arial" w:cs="Arial"/>
                <w:sz w:val="20"/>
                <w:szCs w:val="20"/>
              </w:rPr>
              <w:t>Podpora zaměstnanosti a adaptability pracovní síly</w:t>
            </w:r>
          </w:p>
        </w:tc>
        <w:tc>
          <w:tcPr>
            <w:tcW w:w="10065" w:type="dxa"/>
            <w:shd w:val="clear" w:color="auto" w:fill="auto"/>
            <w:vAlign w:val="center"/>
          </w:tcPr>
          <w:p w14:paraId="339D9724" w14:textId="0FDAAF79" w:rsidR="009B58E7" w:rsidRPr="002F7810" w:rsidRDefault="004777B7" w:rsidP="00105CB2">
            <w:pPr>
              <w:spacing w:after="120"/>
              <w:ind w:right="238"/>
              <w:rPr>
                <w:rFonts w:eastAsia="Arial" w:cstheme="minorHAnsi"/>
                <w:sz w:val="20"/>
                <w:szCs w:val="20"/>
              </w:rPr>
            </w:pPr>
            <w:r w:rsidRPr="002F7810">
              <w:rPr>
                <w:rFonts w:eastAsia="Arial" w:cstheme="minorHAnsi"/>
                <w:b/>
                <w:sz w:val="20"/>
                <w:szCs w:val="20"/>
              </w:rPr>
              <w:t xml:space="preserve">Prioritní osa 1 „Podpora zaměstnanosti a adaptability pracovní síly“ </w:t>
            </w:r>
            <w:r w:rsidRPr="002F7810">
              <w:rPr>
                <w:rFonts w:eastAsia="Arial" w:cstheme="minorHAnsi"/>
                <w:sz w:val="20"/>
                <w:szCs w:val="20"/>
              </w:rPr>
              <w:t xml:space="preserve">(PO1) je prováděna prostřednictvím pěti investičních priorit (IP) a je </w:t>
            </w:r>
            <w:r w:rsidR="00852614" w:rsidRPr="002F7810">
              <w:rPr>
                <w:rFonts w:eastAsia="Arial" w:cstheme="minorHAnsi"/>
                <w:sz w:val="20"/>
                <w:szCs w:val="20"/>
              </w:rPr>
              <w:t xml:space="preserve">se </w:t>
            </w:r>
            <w:r w:rsidRPr="002F7810">
              <w:rPr>
                <w:rFonts w:eastAsia="Arial" w:cstheme="minorHAnsi"/>
                <w:sz w:val="20"/>
                <w:szCs w:val="20"/>
              </w:rPr>
              <w:t>svými 6</w:t>
            </w:r>
            <w:r w:rsidR="00F4056D" w:rsidRPr="002F7810">
              <w:rPr>
                <w:rFonts w:eastAsia="Arial" w:cstheme="minorHAnsi"/>
                <w:sz w:val="20"/>
                <w:szCs w:val="20"/>
              </w:rPr>
              <w:t>4</w:t>
            </w:r>
            <w:r w:rsidRPr="002F7810">
              <w:rPr>
                <w:rFonts w:eastAsia="Arial" w:cstheme="minorHAnsi"/>
                <w:sz w:val="20"/>
                <w:szCs w:val="20"/>
              </w:rPr>
              <w:t xml:space="preserve"> % (1 </w:t>
            </w:r>
            <w:r w:rsidR="00F4056D" w:rsidRPr="002F7810">
              <w:rPr>
                <w:rFonts w:eastAsia="Arial" w:cstheme="minorHAnsi"/>
                <w:sz w:val="20"/>
                <w:szCs w:val="20"/>
              </w:rPr>
              <w:t>840</w:t>
            </w:r>
            <w:r w:rsidRPr="002F7810">
              <w:rPr>
                <w:rFonts w:eastAsia="Arial" w:cstheme="minorHAnsi"/>
                <w:sz w:val="20"/>
                <w:szCs w:val="20"/>
              </w:rPr>
              <w:t xml:space="preserve"> mil. EUR</w:t>
            </w:r>
            <w:r w:rsidR="001608E0" w:rsidRPr="002F7810">
              <w:rPr>
                <w:rFonts w:eastAsia="Arial" w:cstheme="minorHAnsi"/>
                <w:sz w:val="20"/>
                <w:szCs w:val="20"/>
              </w:rPr>
              <w:t>, včetně YEI</w:t>
            </w:r>
            <w:r w:rsidRPr="002F7810">
              <w:rPr>
                <w:rFonts w:eastAsia="Arial" w:cstheme="minorHAnsi"/>
                <w:sz w:val="20"/>
                <w:szCs w:val="20"/>
              </w:rPr>
              <w:t xml:space="preserve">) </w:t>
            </w:r>
            <w:r w:rsidR="001608E0" w:rsidRPr="002F7810">
              <w:rPr>
                <w:rFonts w:eastAsia="Arial" w:cstheme="minorHAnsi"/>
                <w:sz w:val="20"/>
                <w:szCs w:val="20"/>
              </w:rPr>
              <w:t xml:space="preserve">celkových </w:t>
            </w:r>
            <w:r w:rsidRPr="002F7810">
              <w:rPr>
                <w:rFonts w:eastAsia="Arial" w:cstheme="minorHAnsi"/>
                <w:sz w:val="20"/>
                <w:szCs w:val="20"/>
              </w:rPr>
              <w:t>alokovaných prostředků programu nejrozsáhlejší prioritní osou.</w:t>
            </w:r>
          </w:p>
          <w:p w14:paraId="18136105" w14:textId="77777777" w:rsidR="00F73D7E" w:rsidRPr="002F7810" w:rsidRDefault="00F73D7E" w:rsidP="00105CB2">
            <w:pPr>
              <w:spacing w:after="120"/>
              <w:ind w:left="136" w:right="238"/>
              <w:rPr>
                <w:rFonts w:cstheme="minorHAnsi"/>
                <w:b/>
                <w:sz w:val="20"/>
                <w:szCs w:val="20"/>
              </w:rPr>
            </w:pPr>
            <w:r w:rsidRPr="002F7810">
              <w:rPr>
                <w:rFonts w:cstheme="minorHAnsi"/>
                <w:b/>
                <w:sz w:val="20"/>
                <w:szCs w:val="20"/>
              </w:rPr>
              <w:t>IP1.1 „Přístup k zaměstnání pro osoby hledající zaměstnání a neaktivní osoby, včetně místních iniciativ na podporu zaměstnanosti a mobility pracovníků“</w:t>
            </w:r>
          </w:p>
          <w:p w14:paraId="3A7DBC48" w14:textId="7B1FD02E" w:rsidR="00F73D7E" w:rsidRPr="002F7810" w:rsidRDefault="00F73D7E" w:rsidP="00105CB2">
            <w:pPr>
              <w:spacing w:after="120"/>
              <w:ind w:left="136" w:right="238"/>
              <w:rPr>
                <w:rFonts w:cstheme="minorHAnsi"/>
                <w:sz w:val="20"/>
                <w:szCs w:val="20"/>
              </w:rPr>
            </w:pPr>
            <w:r w:rsidRPr="002F7810">
              <w:rPr>
                <w:rFonts w:cstheme="minorHAnsi"/>
                <w:sz w:val="20"/>
                <w:szCs w:val="20"/>
              </w:rPr>
              <w:t>Naplnění tematického cíle 8i (Přístup k zaměstnání pro osoby hledající zaměstnání a neaktivní osoby, včetně dlouhodobě nezaměstnaných a osob vzdálených trhu práce, také prostřednictvím místních iniciativ na</w:t>
            </w:r>
            <w:r w:rsidR="00F80DC2" w:rsidRPr="002F7810">
              <w:rPr>
                <w:rFonts w:cstheme="minorHAnsi"/>
                <w:sz w:val="20"/>
                <w:szCs w:val="20"/>
              </w:rPr>
              <w:t> </w:t>
            </w:r>
            <w:r w:rsidRPr="002F7810">
              <w:rPr>
                <w:rFonts w:cstheme="minorHAnsi"/>
                <w:sz w:val="20"/>
                <w:szCs w:val="20"/>
              </w:rPr>
              <w:t>podporu zaměstnanosti a mobility pracovníků) pro IP1.1 probíhá prostřednictvím projektů realizovaných v příslušných výzvách.</w:t>
            </w:r>
          </w:p>
          <w:p w14:paraId="0781EBBD" w14:textId="352A2FD2" w:rsidR="00D649EB" w:rsidRPr="002F7810" w:rsidRDefault="00D649EB" w:rsidP="00105CB2">
            <w:pPr>
              <w:spacing w:after="120"/>
              <w:ind w:left="136" w:right="238"/>
              <w:rPr>
                <w:rFonts w:cstheme="minorHAnsi"/>
                <w:sz w:val="20"/>
                <w:szCs w:val="20"/>
              </w:rPr>
            </w:pPr>
            <w:r w:rsidRPr="002F7810">
              <w:rPr>
                <w:rFonts w:cstheme="minorHAnsi"/>
                <w:sz w:val="20"/>
                <w:szCs w:val="20"/>
              </w:rPr>
              <w:t>V IP 1.1 pokračovala realizace národních i regionálních individuálních projektů Ú</w:t>
            </w:r>
            <w:r w:rsidR="00A73015" w:rsidRPr="002F7810">
              <w:rPr>
                <w:rFonts w:cstheme="minorHAnsi"/>
                <w:sz w:val="20"/>
                <w:szCs w:val="20"/>
              </w:rPr>
              <w:t xml:space="preserve">řadu práce </w:t>
            </w:r>
            <w:r w:rsidRPr="002F7810">
              <w:rPr>
                <w:rFonts w:cstheme="minorHAnsi"/>
                <w:sz w:val="20"/>
                <w:szCs w:val="20"/>
              </w:rPr>
              <w:t>ČR</w:t>
            </w:r>
            <w:r w:rsidR="00A73015" w:rsidRPr="002F7810">
              <w:rPr>
                <w:rFonts w:cstheme="minorHAnsi"/>
                <w:sz w:val="20"/>
                <w:szCs w:val="20"/>
              </w:rPr>
              <w:t xml:space="preserve"> (ÚP ČR)</w:t>
            </w:r>
            <w:r w:rsidRPr="002F7810">
              <w:rPr>
                <w:rFonts w:cstheme="minorHAnsi"/>
                <w:sz w:val="20"/>
                <w:szCs w:val="20"/>
              </w:rPr>
              <w:t xml:space="preserve"> z výzev č. 4, 10 a 121, které </w:t>
            </w:r>
            <w:r w:rsidR="00852614" w:rsidRPr="002F7810">
              <w:rPr>
                <w:rFonts w:cstheme="minorHAnsi"/>
                <w:sz w:val="20"/>
                <w:szCs w:val="20"/>
              </w:rPr>
              <w:t>cílí</w:t>
            </w:r>
            <w:r w:rsidRPr="002F7810">
              <w:rPr>
                <w:rFonts w:cstheme="minorHAnsi"/>
                <w:sz w:val="20"/>
                <w:szCs w:val="20"/>
              </w:rPr>
              <w:t xml:space="preserve"> na uchazeče a zájemce o zaměstnání, na neaktivní osoby či osoby vracející se na trh práce po</w:t>
            </w:r>
            <w:r w:rsidR="00F80DC2" w:rsidRPr="002F7810">
              <w:rPr>
                <w:rFonts w:cstheme="minorHAnsi"/>
                <w:sz w:val="20"/>
                <w:szCs w:val="20"/>
              </w:rPr>
              <w:t> </w:t>
            </w:r>
            <w:r w:rsidRPr="002F7810">
              <w:rPr>
                <w:rFonts w:cstheme="minorHAnsi"/>
                <w:sz w:val="20"/>
                <w:szCs w:val="20"/>
              </w:rPr>
              <w:t>návratu z mateřské/rodičovské dovolené, osoby se zdravotním postižením či jinými hendikepy.</w:t>
            </w:r>
          </w:p>
          <w:p w14:paraId="04ACEA3B" w14:textId="40D3F5B5" w:rsidR="00F73D7E" w:rsidRPr="002F7810" w:rsidRDefault="00F73D7E" w:rsidP="00105CB2">
            <w:pPr>
              <w:ind w:left="125" w:right="241"/>
              <w:rPr>
                <w:rFonts w:eastAsia="Arial" w:cstheme="minorHAnsi"/>
                <w:color w:val="auto"/>
                <w:sz w:val="20"/>
                <w:szCs w:val="20"/>
              </w:rPr>
            </w:pP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t xml:space="preserve">V rámci IP 1.1 bylo ve výzvě č. 4 „Záruky pro mladé“ (příjemce ÚP ČR) ke konci roku 2022 v realizaci </w:t>
            </w: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br/>
              <w:t xml:space="preserve">13 projektů v celkové výši cca 57,7 mil. EUR. U výzvy č. 10 „Realizace projektů zaměřených na řešení specifických problémů na regionální úrovni pomocí kombinace nástrojů APZ“ (příjemce </w:t>
            </w: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br/>
              <w:t xml:space="preserve">ÚP ČR) bylo v realizaci 37 projektů v celkové výši cca 115 mil. EUR, z toho </w:t>
            </w:r>
            <w:r w:rsidR="00852614" w:rsidRPr="002F7810">
              <w:rPr>
                <w:rFonts w:eastAsia="Arial" w:cstheme="minorHAnsi"/>
                <w:color w:val="auto"/>
                <w:sz w:val="20"/>
                <w:szCs w:val="20"/>
              </w:rPr>
              <w:t>dva</w:t>
            </w: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t xml:space="preserve"> projekty ukončily realizaci k 30. 6. 2022, </w:t>
            </w:r>
            <w:r w:rsidR="00852614" w:rsidRPr="002F7810">
              <w:rPr>
                <w:rFonts w:eastAsia="Arial" w:cstheme="minorHAnsi"/>
                <w:color w:val="auto"/>
                <w:sz w:val="20"/>
                <w:szCs w:val="20"/>
              </w:rPr>
              <w:t>jeden</w:t>
            </w: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t xml:space="preserve"> projekt k 31. 12. 2022, zbylých 34 projektů bude končit 30. 4. 2023.</w:t>
            </w:r>
          </w:p>
          <w:p w14:paraId="78A28543" w14:textId="1E85E564" w:rsidR="00F73D7E" w:rsidRPr="002F7810" w:rsidRDefault="00F73D7E" w:rsidP="00105CB2">
            <w:pPr>
              <w:ind w:left="125" w:right="241"/>
              <w:rPr>
                <w:rFonts w:eastAsia="Arial" w:cstheme="minorHAnsi"/>
                <w:color w:val="auto"/>
                <w:sz w:val="20"/>
                <w:szCs w:val="20"/>
              </w:rPr>
            </w:pP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t>Ve výzvě č. 121 „Nástroje APZ II“ pokračovala v průběhu roku 2022 realizace projektu „Podpora zaměstnanosti dlouhodobě evidovaných uchazečů o zaměstnání“ s celkovou alokací 86 mil. EUR a</w:t>
            </w:r>
            <w:r w:rsidR="00F80DC2" w:rsidRPr="002F7810">
              <w:rPr>
                <w:rFonts w:eastAsia="Arial" w:cstheme="minorHAnsi"/>
                <w:color w:val="auto"/>
                <w:sz w:val="20"/>
                <w:szCs w:val="20"/>
              </w:rPr>
              <w:t> </w:t>
            </w: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t>projektu</w:t>
            </w:r>
            <w:r w:rsidR="00F80DC2" w:rsidRPr="002F7810">
              <w:rPr>
                <w:rFonts w:eastAsia="Arial" w:cstheme="minorHAnsi"/>
                <w:color w:val="auto"/>
                <w:sz w:val="20"/>
                <w:szCs w:val="20"/>
              </w:rPr>
              <w:t xml:space="preserve"> </w:t>
            </w: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t>„Vzdělávání a</w:t>
            </w:r>
            <w:r w:rsidR="00105CB2" w:rsidRPr="002F7810">
              <w:rPr>
                <w:rFonts w:eastAsia="Arial" w:cstheme="minorHAnsi"/>
                <w:color w:val="auto"/>
                <w:sz w:val="20"/>
                <w:szCs w:val="20"/>
              </w:rPr>
              <w:t> </w:t>
            </w: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t>dovednosti</w:t>
            </w:r>
            <w:r w:rsidR="00105CB2" w:rsidRPr="002F7810">
              <w:rPr>
                <w:rFonts w:eastAsia="Arial" w:cstheme="minorHAnsi"/>
                <w:color w:val="auto"/>
                <w:sz w:val="20"/>
                <w:szCs w:val="20"/>
              </w:rPr>
              <w:t xml:space="preserve"> </w:t>
            </w: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t>pro</w:t>
            </w:r>
            <w:r w:rsidR="00105CB2" w:rsidRPr="002F7810">
              <w:rPr>
                <w:rFonts w:eastAsia="Arial" w:cstheme="minorHAnsi"/>
                <w:color w:val="auto"/>
                <w:sz w:val="20"/>
                <w:szCs w:val="20"/>
              </w:rPr>
              <w:t xml:space="preserve"> </w:t>
            </w: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t>trh práce II“</w:t>
            </w:r>
            <w:r w:rsidR="00F80DC2" w:rsidRPr="002F7810">
              <w:rPr>
                <w:rFonts w:eastAsia="Arial" w:cstheme="minorHAnsi"/>
                <w:color w:val="auto"/>
                <w:sz w:val="20"/>
                <w:szCs w:val="20"/>
              </w:rPr>
              <w:t xml:space="preserve">, který měl celkovou alokaci </w:t>
            </w: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t xml:space="preserve">ve výši </w:t>
            </w: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br/>
              <w:t>59,38 mil. EUR.</w:t>
            </w:r>
            <w:r w:rsidR="00F80DC2" w:rsidRPr="002F7810">
              <w:rPr>
                <w:rFonts w:eastAsia="Arial" w:cstheme="minorHAnsi"/>
                <w:color w:val="auto"/>
                <w:sz w:val="20"/>
                <w:szCs w:val="20"/>
              </w:rPr>
              <w:t xml:space="preserve"> </w:t>
            </w: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t>Dále pokračovala realizace projektu „Podpora forem flexibilního zaměstnávání“ s</w:t>
            </w:r>
            <w:r w:rsidR="00852614" w:rsidRPr="002F7810">
              <w:rPr>
                <w:rFonts w:eastAsia="Arial" w:cstheme="minorHAnsi"/>
                <w:color w:val="auto"/>
                <w:sz w:val="20"/>
                <w:szCs w:val="20"/>
              </w:rPr>
              <w:t xml:space="preserve"> </w:t>
            </w: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t xml:space="preserve">celkovou alokací ve výši 28,65 mil. EUR, který </w:t>
            </w:r>
            <w:r w:rsidR="00852614" w:rsidRPr="002F7810">
              <w:rPr>
                <w:rFonts w:eastAsia="Arial" w:cstheme="minorHAnsi"/>
                <w:color w:val="auto"/>
                <w:sz w:val="20"/>
                <w:szCs w:val="20"/>
              </w:rPr>
              <w:t>se zaměřuje</w:t>
            </w: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t xml:space="preserve"> nejenom na uchazeče a zájemce o zaměstnání, ale také na neaktivní osoby či osoby vracející se na trh práce po návratu z mateřské či rodičovské dovolené se</w:t>
            </w:r>
            <w:r w:rsidR="00F80DC2" w:rsidRPr="002F7810">
              <w:rPr>
                <w:rFonts w:eastAsia="Arial" w:cstheme="minorHAnsi"/>
                <w:color w:val="auto"/>
                <w:sz w:val="20"/>
                <w:szCs w:val="20"/>
              </w:rPr>
              <w:t> </w:t>
            </w: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t>zvláštním zaměřením na osoby se zdravotním postižením či jinými (mnohdy kumulovanými) hendikepy, které zabraňují či ztěžují vstup a začlenění na trhu práce.</w:t>
            </w:r>
          </w:p>
          <w:p w14:paraId="0DDF6583" w14:textId="799CC7AE" w:rsidR="00F73D7E" w:rsidRDefault="00F73D7E" w:rsidP="00105CB2">
            <w:pPr>
              <w:ind w:left="125" w:right="241"/>
              <w:rPr>
                <w:rFonts w:eastAsia="Arial" w:cstheme="minorHAnsi"/>
                <w:color w:val="auto"/>
                <w:sz w:val="20"/>
                <w:szCs w:val="20"/>
              </w:rPr>
            </w:pP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lastRenderedPageBreak/>
              <w:t>V oblasti soutěžních projektů (jedná se o lokální projekty zejména neziskových a vzdělávacích organizací pro různé skupiny nezaměstnaných osob včetně projektů v rámci ITI a IPRÚ) o objemu 9</w:t>
            </w:r>
            <w:r w:rsidR="000F365E" w:rsidRPr="002F7810">
              <w:rPr>
                <w:rFonts w:eastAsia="Arial" w:cstheme="minorHAnsi"/>
                <w:color w:val="auto"/>
                <w:sz w:val="20"/>
                <w:szCs w:val="20"/>
              </w:rPr>
              <w:t>2</w:t>
            </w: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t xml:space="preserve"> mil</w:t>
            </w:r>
            <w:r w:rsidR="000F365E" w:rsidRPr="002F7810">
              <w:rPr>
                <w:rFonts w:eastAsia="Arial" w:cstheme="minorHAnsi"/>
                <w:color w:val="auto"/>
                <w:sz w:val="20"/>
                <w:szCs w:val="20"/>
              </w:rPr>
              <w:t>.</w:t>
            </w: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t xml:space="preserve"> EUR byla v průběhu roku 2022 u většiny projektů dokončována realizace a administrace s ohledem na uzavírání OPZ a</w:t>
            </w:r>
            <w:r w:rsidR="00F80DC2" w:rsidRPr="002F7810">
              <w:rPr>
                <w:rFonts w:eastAsia="Arial" w:cstheme="minorHAnsi"/>
                <w:color w:val="auto"/>
                <w:sz w:val="20"/>
                <w:szCs w:val="20"/>
              </w:rPr>
              <w:t> </w:t>
            </w: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t xml:space="preserve">rozjezd OPZ+ (v kterém byly vyhlášeny nové obdobné výzvy). Výjimečně byly ještě projekty prodlužovány s ohledem na doznívající dopad epidemiologických opatření. </w:t>
            </w:r>
          </w:p>
          <w:p w14:paraId="0EA5622A" w14:textId="6863FB45" w:rsidR="00F04B7E" w:rsidRPr="00F04B7E" w:rsidRDefault="00F04B7E" w:rsidP="00F04B7E">
            <w:pPr>
              <w:ind w:left="130" w:right="2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 xml:space="preserve">V oblasti ITI a IPRÚ v roce 2022 skončila realizace 25 projektů, v realizaci do poloviny roku 2023 zůstalo 5 projektů. </w:t>
            </w:r>
            <w:r w:rsidRPr="009D6195">
              <w:rPr>
                <w:rFonts w:ascii="Arial" w:eastAsia="Arial" w:hAnsi="Arial" w:cs="Arial"/>
                <w:bCs/>
                <w:sz w:val="20"/>
                <w:szCs w:val="20"/>
              </w:rPr>
              <w:t xml:space="preserve">Vyúčtované výdaje na konci roku za ITI činily 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>72</w:t>
            </w:r>
            <w:r w:rsidRPr="009D6195">
              <w:rPr>
                <w:rFonts w:ascii="Arial" w:eastAsia="Arial" w:hAnsi="Arial" w:cs="Arial"/>
                <w:bCs/>
                <w:sz w:val="20"/>
                <w:szCs w:val="20"/>
              </w:rPr>
              <w:t xml:space="preserve"> % a za IPRÚ 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 xml:space="preserve">86 </w:t>
            </w:r>
            <w:r w:rsidRPr="009D6195">
              <w:rPr>
                <w:rFonts w:ascii="Arial" w:eastAsia="Arial" w:hAnsi="Arial" w:cs="Arial"/>
                <w:bCs/>
                <w:sz w:val="20"/>
                <w:szCs w:val="20"/>
              </w:rPr>
              <w:t>%.</w:t>
            </w:r>
          </w:p>
          <w:p w14:paraId="273367FA" w14:textId="77777777" w:rsidR="00F832C6" w:rsidRPr="002F7810" w:rsidRDefault="00D649EB" w:rsidP="00BA75D4">
            <w:pPr>
              <w:spacing w:after="120"/>
              <w:ind w:left="136" w:right="238"/>
              <w:rPr>
                <w:rFonts w:cstheme="minorHAnsi"/>
                <w:b/>
                <w:sz w:val="20"/>
                <w:szCs w:val="20"/>
              </w:rPr>
            </w:pPr>
            <w:r w:rsidRPr="002F7810">
              <w:rPr>
                <w:rFonts w:cstheme="minorHAnsi"/>
                <w:b/>
                <w:sz w:val="20"/>
                <w:szCs w:val="20"/>
              </w:rPr>
              <w:t xml:space="preserve">IP1.2 </w:t>
            </w:r>
            <w:r w:rsidR="00F832C6" w:rsidRPr="002F7810">
              <w:rPr>
                <w:rFonts w:cstheme="minorHAnsi"/>
                <w:b/>
                <w:sz w:val="20"/>
                <w:szCs w:val="20"/>
              </w:rPr>
              <w:t>„Rovnost žen a mužů ve všech oblastech, a to i pokud jde o přístup k zaměstnání a kariérní postup, sladění pracovního a soukromého života a podpora stejné odměny za stejnou práci</w:t>
            </w:r>
          </w:p>
          <w:p w14:paraId="0BBAC6E5" w14:textId="15F96712" w:rsidR="00F832C6" w:rsidRPr="002F7810" w:rsidRDefault="00F832C6" w:rsidP="00BA75D4">
            <w:pPr>
              <w:spacing w:before="120" w:after="120"/>
              <w:ind w:left="136" w:right="238"/>
              <w:rPr>
                <w:rFonts w:eastAsia="Arial" w:cstheme="minorHAnsi"/>
                <w:color w:val="auto"/>
                <w:sz w:val="20"/>
                <w:szCs w:val="20"/>
              </w:rPr>
            </w:pP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t>V IP 1.2 ukončily nejpozději k 30.</w:t>
            </w:r>
            <w:r w:rsidR="00BD1F33" w:rsidRPr="002F7810">
              <w:rPr>
                <w:rFonts w:eastAsia="Arial" w:cstheme="minorHAnsi"/>
                <w:color w:val="auto"/>
                <w:sz w:val="20"/>
                <w:szCs w:val="20"/>
              </w:rPr>
              <w:t xml:space="preserve"> </w:t>
            </w: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t>6.</w:t>
            </w:r>
            <w:r w:rsidR="00BD1F33" w:rsidRPr="002F7810">
              <w:rPr>
                <w:rFonts w:eastAsia="Arial" w:cstheme="minorHAnsi"/>
                <w:color w:val="auto"/>
                <w:sz w:val="20"/>
                <w:szCs w:val="20"/>
              </w:rPr>
              <w:t xml:space="preserve"> </w:t>
            </w: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t>2022 realizaci všechny projekty na podporu dětských skupin, jejichž cílem bylo vytvořit dětskou skupinu a zajistit možnost kontinuálního financování jejího provozu do doby, kdy bude moci navázat státním financováním. V reakci na uprchlickou krizi vyvolanou agresí vojsk Ruské Federace na</w:t>
            </w:r>
            <w:r w:rsidR="00F80DC2" w:rsidRPr="002F7810">
              <w:rPr>
                <w:rFonts w:eastAsia="Arial" w:cstheme="minorHAnsi"/>
                <w:color w:val="auto"/>
                <w:sz w:val="20"/>
                <w:szCs w:val="20"/>
              </w:rPr>
              <w:t> </w:t>
            </w: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t>Ukrajinu byly v dubnu 2022 vyhlášeny dvě další mimořádné výzvy na podporu vzniku a provozu dětských skupin s nejzazším datem pro ukončení fyzické realizace projektu 30.</w:t>
            </w:r>
            <w:r w:rsidR="001555A7" w:rsidRPr="002F7810">
              <w:rPr>
                <w:rFonts w:eastAsia="Arial" w:cstheme="minorHAnsi"/>
                <w:color w:val="auto"/>
                <w:sz w:val="20"/>
                <w:szCs w:val="20"/>
              </w:rPr>
              <w:t xml:space="preserve"> </w:t>
            </w: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t>9.</w:t>
            </w:r>
            <w:r w:rsidR="001555A7" w:rsidRPr="002F7810">
              <w:rPr>
                <w:rFonts w:eastAsia="Arial" w:cstheme="minorHAnsi"/>
                <w:color w:val="auto"/>
                <w:sz w:val="20"/>
                <w:szCs w:val="20"/>
              </w:rPr>
              <w:t xml:space="preserve"> </w:t>
            </w: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t xml:space="preserve">2023, které umožnily vznik 181 nových dětských skupin. Celkem bylo v rámci OPZ podpořeno 1 286 dětských skupin a 108 mikrojeslí. </w:t>
            </w:r>
          </w:p>
          <w:p w14:paraId="62885C9F" w14:textId="2EB15877" w:rsidR="00D649EB" w:rsidRPr="002F7810" w:rsidRDefault="00F832C6" w:rsidP="00BA75D4">
            <w:pPr>
              <w:spacing w:before="120" w:after="120"/>
              <w:ind w:left="136" w:right="238"/>
              <w:rPr>
                <w:rFonts w:eastAsia="Arial" w:cstheme="minorHAnsi"/>
                <w:sz w:val="20"/>
                <w:szCs w:val="20"/>
              </w:rPr>
            </w:pPr>
            <w:r w:rsidRPr="002F7810">
              <w:rPr>
                <w:rFonts w:eastAsia="Arial" w:cstheme="minorHAnsi"/>
                <w:sz w:val="20"/>
                <w:szCs w:val="20"/>
              </w:rPr>
              <w:t>V oblasti rovných příležitostí žen a mužů na trhu práce byly projekty z většiny výzev až na drobné výjimky ukončeny do 31. 12. 2021. V realizaci pokračovaly projekty ze tří výzev. První z nich byla výzva č</w:t>
            </w:r>
            <w:r w:rsidR="001555A7" w:rsidRPr="002F7810">
              <w:rPr>
                <w:rFonts w:eastAsia="Arial" w:cstheme="minorHAnsi"/>
                <w:sz w:val="20"/>
                <w:szCs w:val="20"/>
              </w:rPr>
              <w:t xml:space="preserve">. </w:t>
            </w:r>
            <w:r w:rsidRPr="002F7810">
              <w:rPr>
                <w:rFonts w:eastAsia="Arial" w:cstheme="minorHAnsi"/>
                <w:sz w:val="20"/>
                <w:szCs w:val="20"/>
              </w:rPr>
              <w:t xml:space="preserve">9 </w:t>
            </w:r>
            <w:r w:rsidR="00BD1F33" w:rsidRPr="002F7810">
              <w:rPr>
                <w:rFonts w:eastAsia="Arial" w:cstheme="minorHAnsi"/>
                <w:sz w:val="20"/>
                <w:szCs w:val="20"/>
              </w:rPr>
              <w:t>„</w:t>
            </w:r>
            <w:r w:rsidRPr="002F7810">
              <w:rPr>
                <w:rFonts w:eastAsia="Arial" w:cstheme="minorHAnsi"/>
                <w:sz w:val="20"/>
                <w:szCs w:val="20"/>
              </w:rPr>
              <w:t>Systémové projekty na podporu rovnosti žen a mužů</w:t>
            </w:r>
            <w:r w:rsidR="00BD1F33" w:rsidRPr="002F7810">
              <w:rPr>
                <w:rFonts w:eastAsia="Arial" w:cstheme="minorHAnsi"/>
                <w:sz w:val="20"/>
                <w:szCs w:val="20"/>
              </w:rPr>
              <w:t>“</w:t>
            </w:r>
            <w:r w:rsidRPr="002F7810">
              <w:rPr>
                <w:rFonts w:eastAsia="Arial" w:cstheme="minorHAnsi"/>
                <w:sz w:val="20"/>
                <w:szCs w:val="20"/>
              </w:rPr>
              <w:t xml:space="preserve">, v rámci které běžely tři projekty přímého přidělení MPSV a jeden </w:t>
            </w:r>
            <w:r w:rsidR="001555A7" w:rsidRPr="002F7810">
              <w:rPr>
                <w:rFonts w:eastAsia="Arial" w:cstheme="minorHAnsi"/>
                <w:sz w:val="20"/>
                <w:szCs w:val="20"/>
              </w:rPr>
              <w:t xml:space="preserve">projekt </w:t>
            </w:r>
            <w:r w:rsidRPr="002F7810">
              <w:rPr>
                <w:rFonts w:eastAsia="Arial" w:cstheme="minorHAnsi"/>
                <w:sz w:val="20"/>
                <w:szCs w:val="20"/>
              </w:rPr>
              <w:t>Úřadu vlády. Dále se pak jednalo výzvu č</w:t>
            </w:r>
            <w:r w:rsidR="001555A7" w:rsidRPr="002F7810">
              <w:rPr>
                <w:rFonts w:eastAsia="Arial" w:cstheme="minorHAnsi"/>
                <w:sz w:val="20"/>
                <w:szCs w:val="20"/>
              </w:rPr>
              <w:t xml:space="preserve">. </w:t>
            </w:r>
            <w:r w:rsidRPr="002F7810">
              <w:rPr>
                <w:rFonts w:cstheme="minorHAnsi"/>
                <w:sz w:val="20"/>
                <w:szCs w:val="20"/>
              </w:rPr>
              <w:t xml:space="preserve">81 </w:t>
            </w:r>
            <w:r w:rsidR="00BD1F33" w:rsidRPr="002F7810">
              <w:rPr>
                <w:rFonts w:cstheme="minorHAnsi"/>
                <w:sz w:val="20"/>
                <w:szCs w:val="20"/>
              </w:rPr>
              <w:t>„</w:t>
            </w:r>
            <w:r w:rsidRPr="002F7810">
              <w:rPr>
                <w:rFonts w:cstheme="minorHAnsi"/>
                <w:sz w:val="20"/>
                <w:szCs w:val="20"/>
              </w:rPr>
              <w:t>Soutěžní projekty na</w:t>
            </w:r>
            <w:r w:rsidR="00F80DC2" w:rsidRPr="002F7810">
              <w:rPr>
                <w:rFonts w:cstheme="minorHAnsi"/>
                <w:sz w:val="20"/>
                <w:szCs w:val="20"/>
              </w:rPr>
              <w:t> </w:t>
            </w:r>
            <w:r w:rsidRPr="002F7810">
              <w:rPr>
                <w:rFonts w:cstheme="minorHAnsi"/>
                <w:sz w:val="20"/>
                <w:szCs w:val="20"/>
              </w:rPr>
              <w:t>podporu rovnosti žen a</w:t>
            </w:r>
            <w:r w:rsidR="001555A7" w:rsidRPr="002F7810">
              <w:rPr>
                <w:rFonts w:cstheme="minorHAnsi"/>
                <w:sz w:val="20"/>
                <w:szCs w:val="20"/>
              </w:rPr>
              <w:t> </w:t>
            </w:r>
            <w:r w:rsidRPr="002F7810">
              <w:rPr>
                <w:rFonts w:cstheme="minorHAnsi"/>
                <w:sz w:val="20"/>
                <w:szCs w:val="20"/>
              </w:rPr>
              <w:t>mužů v ČR mimo hl. město Prahu</w:t>
            </w:r>
            <w:r w:rsidR="00BD1F33" w:rsidRPr="002F7810">
              <w:rPr>
                <w:rFonts w:cstheme="minorHAnsi"/>
                <w:sz w:val="20"/>
                <w:szCs w:val="20"/>
              </w:rPr>
              <w:t>“</w:t>
            </w:r>
            <w:r w:rsidRPr="002F7810">
              <w:rPr>
                <w:rFonts w:cstheme="minorHAnsi"/>
                <w:sz w:val="20"/>
                <w:szCs w:val="20"/>
              </w:rPr>
              <w:t>, kde probíhá dotazníkové šetření mezi podpořenými osobami a</w:t>
            </w:r>
            <w:r w:rsidR="005554D0" w:rsidRPr="002F7810">
              <w:rPr>
                <w:rFonts w:cstheme="minorHAnsi"/>
                <w:sz w:val="20"/>
                <w:szCs w:val="20"/>
              </w:rPr>
              <w:t> </w:t>
            </w:r>
            <w:r w:rsidRPr="002F7810">
              <w:rPr>
                <w:rFonts w:cstheme="minorHAnsi"/>
                <w:sz w:val="20"/>
                <w:szCs w:val="20"/>
              </w:rPr>
              <w:t xml:space="preserve">evaluace ze strany </w:t>
            </w:r>
            <w:r w:rsidR="001555A7" w:rsidRPr="002F7810">
              <w:rPr>
                <w:rFonts w:cstheme="minorHAnsi"/>
                <w:sz w:val="20"/>
                <w:szCs w:val="20"/>
              </w:rPr>
              <w:t>ř</w:t>
            </w:r>
            <w:r w:rsidRPr="002F7810">
              <w:rPr>
                <w:rFonts w:cstheme="minorHAnsi"/>
                <w:sz w:val="20"/>
                <w:szCs w:val="20"/>
              </w:rPr>
              <w:t>ídicího orgánu. Poslední pokračující výzvou byla výzva č</w:t>
            </w:r>
            <w:r w:rsidR="001555A7" w:rsidRPr="002F7810">
              <w:rPr>
                <w:rFonts w:cstheme="minorHAnsi"/>
                <w:sz w:val="20"/>
                <w:szCs w:val="20"/>
              </w:rPr>
              <w:t xml:space="preserve">. </w:t>
            </w:r>
            <w:r w:rsidRPr="002F7810">
              <w:rPr>
                <w:rFonts w:cstheme="minorHAnsi"/>
                <w:sz w:val="20"/>
                <w:szCs w:val="20"/>
              </w:rPr>
              <w:t xml:space="preserve">107 </w:t>
            </w:r>
            <w:r w:rsidR="00BD1F33" w:rsidRPr="002F7810">
              <w:rPr>
                <w:rFonts w:cstheme="minorHAnsi"/>
                <w:sz w:val="20"/>
                <w:szCs w:val="20"/>
              </w:rPr>
              <w:t>„</w:t>
            </w:r>
            <w:r w:rsidRPr="002F7810">
              <w:rPr>
                <w:rFonts w:cstheme="minorHAnsi"/>
                <w:sz w:val="20"/>
                <w:szCs w:val="20"/>
              </w:rPr>
              <w:t>Podpora zařízení péče o</w:t>
            </w:r>
            <w:r w:rsidR="005554D0" w:rsidRPr="002F7810">
              <w:rPr>
                <w:rFonts w:cstheme="minorHAnsi"/>
                <w:sz w:val="20"/>
                <w:szCs w:val="20"/>
              </w:rPr>
              <w:t> </w:t>
            </w:r>
            <w:r w:rsidRPr="002F7810">
              <w:rPr>
                <w:rFonts w:cstheme="minorHAnsi"/>
                <w:sz w:val="20"/>
                <w:szCs w:val="20"/>
              </w:rPr>
              <w:t>děti na</w:t>
            </w:r>
            <w:r w:rsidR="001555A7" w:rsidRPr="002F7810">
              <w:rPr>
                <w:rFonts w:cstheme="minorHAnsi"/>
                <w:sz w:val="20"/>
                <w:szCs w:val="20"/>
              </w:rPr>
              <w:t> </w:t>
            </w:r>
            <w:r w:rsidRPr="002F7810">
              <w:rPr>
                <w:rFonts w:cstheme="minorHAnsi"/>
                <w:sz w:val="20"/>
                <w:szCs w:val="20"/>
              </w:rPr>
              <w:t>1.</w:t>
            </w:r>
            <w:r w:rsidR="001555A7" w:rsidRPr="002F7810">
              <w:rPr>
                <w:rFonts w:cstheme="minorHAnsi"/>
                <w:sz w:val="20"/>
                <w:szCs w:val="20"/>
              </w:rPr>
              <w:t> </w:t>
            </w:r>
            <w:r w:rsidRPr="002F7810">
              <w:rPr>
                <w:rFonts w:cstheme="minorHAnsi"/>
                <w:sz w:val="20"/>
                <w:szCs w:val="20"/>
              </w:rPr>
              <w:t>stupni základních škol v době mimo školní vyučování mimo hl. město Prahu</w:t>
            </w:r>
            <w:r w:rsidR="00BD1F33" w:rsidRPr="002F7810">
              <w:rPr>
                <w:rFonts w:cstheme="minorHAnsi"/>
                <w:sz w:val="20"/>
                <w:szCs w:val="20"/>
              </w:rPr>
              <w:t>“</w:t>
            </w:r>
            <w:r w:rsidRPr="002F7810">
              <w:rPr>
                <w:rFonts w:cstheme="minorHAnsi"/>
                <w:sz w:val="20"/>
                <w:szCs w:val="20"/>
              </w:rPr>
              <w:t>. Nejzazší termín pro</w:t>
            </w:r>
            <w:r w:rsidR="001555A7" w:rsidRPr="002F7810">
              <w:rPr>
                <w:rFonts w:cstheme="minorHAnsi"/>
                <w:sz w:val="20"/>
                <w:szCs w:val="20"/>
              </w:rPr>
              <w:t> </w:t>
            </w:r>
            <w:r w:rsidRPr="002F7810">
              <w:rPr>
                <w:rFonts w:cstheme="minorHAnsi"/>
                <w:sz w:val="20"/>
                <w:szCs w:val="20"/>
              </w:rPr>
              <w:t xml:space="preserve">ukončení projektů byl 31. 12. 2022, nicméně s ohledem na uzavření škol v době epidemie covid-19 bylo některým příjemců povoleno projekty prodloužit do 30. 6. 2023. </w:t>
            </w:r>
          </w:p>
          <w:p w14:paraId="7BA8E598" w14:textId="77777777" w:rsidR="00F73D7E" w:rsidRPr="002F7810" w:rsidRDefault="00F73D7E" w:rsidP="00105CB2">
            <w:pPr>
              <w:spacing w:after="120"/>
              <w:ind w:left="136" w:right="238"/>
              <w:rPr>
                <w:rFonts w:cstheme="minorHAnsi"/>
                <w:b/>
                <w:sz w:val="20"/>
                <w:szCs w:val="20"/>
              </w:rPr>
            </w:pPr>
            <w:r w:rsidRPr="002F7810">
              <w:rPr>
                <w:rFonts w:cstheme="minorHAnsi"/>
                <w:b/>
                <w:sz w:val="20"/>
                <w:szCs w:val="20"/>
              </w:rPr>
              <w:t>IP1.3 „Pomoc pracovníkům, podnikům a podnikatelům přizpůsobovat se změnám“</w:t>
            </w:r>
          </w:p>
          <w:p w14:paraId="197CE9D0" w14:textId="50C0F24A" w:rsidR="00F73D7E" w:rsidRPr="002F7810" w:rsidRDefault="00F73D7E" w:rsidP="00105CB2">
            <w:pPr>
              <w:spacing w:after="120"/>
              <w:ind w:left="136" w:right="238"/>
              <w:rPr>
                <w:rFonts w:cstheme="minorHAnsi"/>
                <w:sz w:val="20"/>
                <w:szCs w:val="20"/>
              </w:rPr>
            </w:pPr>
            <w:r w:rsidRPr="002F7810">
              <w:rPr>
                <w:rFonts w:cstheme="minorHAnsi"/>
                <w:sz w:val="20"/>
                <w:szCs w:val="20"/>
              </w:rPr>
              <w:t>Naplnění tematického cíle 8v (Pomoc pracovníkům, podnikům a podnikatelům přizpůsobovat se změnám) pro</w:t>
            </w:r>
            <w:r w:rsidR="001555A7" w:rsidRPr="002F7810">
              <w:rPr>
                <w:rFonts w:cstheme="minorHAnsi"/>
                <w:sz w:val="20"/>
                <w:szCs w:val="20"/>
              </w:rPr>
              <w:t> </w:t>
            </w:r>
            <w:r w:rsidRPr="002F7810">
              <w:rPr>
                <w:rFonts w:cstheme="minorHAnsi"/>
                <w:sz w:val="20"/>
                <w:szCs w:val="20"/>
              </w:rPr>
              <w:t xml:space="preserve">IP1.3 probíhá prostřednictvím projektů realizovaných v příslušných výzvách. </w:t>
            </w:r>
          </w:p>
          <w:p w14:paraId="0FCD416F" w14:textId="79AF812B" w:rsidR="00FE66D0" w:rsidRPr="002F7810" w:rsidRDefault="00FE66D0" w:rsidP="00F80DC2">
            <w:pPr>
              <w:spacing w:before="120" w:after="120"/>
              <w:ind w:left="136" w:right="233"/>
              <w:rPr>
                <w:rFonts w:eastAsia="Arial" w:cstheme="minorHAnsi"/>
                <w:color w:val="auto"/>
                <w:sz w:val="20"/>
                <w:szCs w:val="20"/>
              </w:rPr>
            </w:pPr>
            <w:r w:rsidRPr="002F7810">
              <w:rPr>
                <w:rFonts w:eastAsia="Arial" w:cstheme="minorHAnsi"/>
                <w:sz w:val="20"/>
                <w:szCs w:val="20"/>
              </w:rPr>
              <w:t>V rámci IP1.3 pokračovala realizace projektů s jednotkovými náklady zaměřených na další profesní vzdělávání, kde docházelo k častému prodlužování realizace projektů až do 30. 6. 2023, a to zejména vlivem doznívajících omezení spojených s </w:t>
            </w:r>
            <w:r w:rsidR="00A73015" w:rsidRPr="002F7810">
              <w:rPr>
                <w:rFonts w:eastAsia="Arial" w:cstheme="minorHAnsi"/>
                <w:sz w:val="20"/>
                <w:szCs w:val="20"/>
              </w:rPr>
              <w:t>c</w:t>
            </w:r>
            <w:r w:rsidRPr="002F7810">
              <w:rPr>
                <w:rFonts w:eastAsia="Arial" w:cstheme="minorHAnsi"/>
                <w:sz w:val="20"/>
                <w:szCs w:val="20"/>
              </w:rPr>
              <w:t xml:space="preserve">ovid-19, která měla vliv i na realizaci dalšího vzdělávání poskytovaného ÚP ČR v projektu </w:t>
            </w:r>
            <w:r w:rsidR="00F850D8" w:rsidRPr="002F7810">
              <w:rPr>
                <w:rFonts w:eastAsia="Arial" w:cstheme="minorHAnsi"/>
                <w:sz w:val="20"/>
                <w:szCs w:val="20"/>
              </w:rPr>
              <w:t>„</w:t>
            </w:r>
            <w:r w:rsidRPr="002F7810">
              <w:rPr>
                <w:rFonts w:eastAsia="Arial" w:cstheme="minorHAnsi"/>
                <w:sz w:val="20"/>
                <w:szCs w:val="20"/>
              </w:rPr>
              <w:t>POVEZ II</w:t>
            </w:r>
            <w:r w:rsidR="00F850D8" w:rsidRPr="002F7810">
              <w:rPr>
                <w:rFonts w:eastAsia="Arial" w:cstheme="minorHAnsi"/>
                <w:sz w:val="20"/>
                <w:szCs w:val="20"/>
              </w:rPr>
              <w:t>“</w:t>
            </w:r>
            <w:r w:rsidR="00A73015" w:rsidRPr="002F7810">
              <w:rPr>
                <w:rFonts w:eastAsia="Arial" w:cstheme="minorHAnsi"/>
                <w:sz w:val="20"/>
                <w:szCs w:val="20"/>
              </w:rPr>
              <w:t>.</w:t>
            </w:r>
          </w:p>
          <w:p w14:paraId="6822921F" w14:textId="3229FF20" w:rsidR="00F73D7E" w:rsidRPr="002F7810" w:rsidRDefault="00F73D7E" w:rsidP="00105CB2">
            <w:pPr>
              <w:spacing w:after="120"/>
              <w:ind w:left="136" w:right="238"/>
              <w:rPr>
                <w:rFonts w:eastAsia="Calibri" w:cstheme="minorHAnsi"/>
                <w:color w:val="auto"/>
                <w:sz w:val="20"/>
                <w:szCs w:val="20"/>
              </w:rPr>
            </w:pPr>
            <w:r w:rsidRPr="00297C71">
              <w:rPr>
                <w:rFonts w:eastAsia="Calibri" w:cstheme="minorHAnsi"/>
                <w:color w:val="auto"/>
                <w:sz w:val="20"/>
                <w:szCs w:val="20"/>
              </w:rPr>
              <w:lastRenderedPageBreak/>
              <w:t>V roce 2022 u výzvy č. 93 „Podpora zaměstnanců ohrožených propouštění II“</w:t>
            </w:r>
            <w:r w:rsidRPr="00297C71">
              <w:rPr>
                <w:rFonts w:eastAsia="Calibr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297C71">
              <w:rPr>
                <w:rFonts w:eastAsia="Calibri" w:cstheme="minorHAnsi"/>
                <w:color w:val="auto"/>
                <w:sz w:val="20"/>
                <w:szCs w:val="20"/>
              </w:rPr>
              <w:t xml:space="preserve">bylo v projektu </w:t>
            </w:r>
            <w:r w:rsidR="00F850D8" w:rsidRPr="00297C71">
              <w:rPr>
                <w:rFonts w:eastAsia="Calibri" w:cstheme="minorHAnsi"/>
                <w:color w:val="auto"/>
                <w:sz w:val="20"/>
                <w:szCs w:val="20"/>
              </w:rPr>
              <w:t>„</w:t>
            </w:r>
            <w:r w:rsidRPr="00297C71">
              <w:rPr>
                <w:rFonts w:eastAsia="Calibri" w:cstheme="minorHAnsi"/>
                <w:color w:val="auto"/>
                <w:sz w:val="20"/>
                <w:szCs w:val="20"/>
              </w:rPr>
              <w:t>Outplacement</w:t>
            </w:r>
            <w:r w:rsidR="00F850D8" w:rsidRPr="00297C71">
              <w:rPr>
                <w:rFonts w:eastAsia="Calibri" w:cstheme="minorHAnsi"/>
                <w:color w:val="auto"/>
                <w:sz w:val="20"/>
                <w:szCs w:val="20"/>
              </w:rPr>
              <w:t>“</w:t>
            </w:r>
            <w:r w:rsidRPr="00297C71">
              <w:rPr>
                <w:rFonts w:eastAsia="Calibri" w:cstheme="minorHAnsi"/>
                <w:color w:val="auto"/>
                <w:sz w:val="20"/>
                <w:szCs w:val="20"/>
              </w:rPr>
              <w:t xml:space="preserve"> k 31. 12. 2022 vyčerpáno 16 mil. EUR a podpořeno celkem 3 786 osob.</w:t>
            </w:r>
            <w:r w:rsidRPr="002F7810">
              <w:rPr>
                <w:rFonts w:eastAsia="Calibri" w:cstheme="minorHAnsi"/>
                <w:color w:val="auto"/>
                <w:sz w:val="20"/>
                <w:szCs w:val="20"/>
              </w:rPr>
              <w:t xml:space="preserve">  </w:t>
            </w:r>
          </w:p>
          <w:p w14:paraId="114CACFF" w14:textId="67EE7170" w:rsidR="00F73D7E" w:rsidRPr="002F7810" w:rsidRDefault="00F73D7E" w:rsidP="00105CB2">
            <w:pPr>
              <w:spacing w:after="120"/>
              <w:ind w:left="136" w:right="238"/>
              <w:rPr>
                <w:rFonts w:cstheme="minorHAnsi"/>
                <w:color w:val="FF0000"/>
                <w:sz w:val="20"/>
                <w:szCs w:val="20"/>
              </w:rPr>
            </w:pPr>
            <w:r w:rsidRPr="002F7810">
              <w:rPr>
                <w:rFonts w:cstheme="minorHAnsi"/>
                <w:color w:val="auto"/>
                <w:sz w:val="20"/>
                <w:szCs w:val="20"/>
              </w:rPr>
              <w:t>Ve výzvě č. 138 „Antivirus A” byl</w:t>
            </w:r>
            <w:r w:rsidRPr="002F7810">
              <w:rPr>
                <w:rFonts w:cstheme="minorHAnsi"/>
                <w:sz w:val="20"/>
                <w:szCs w:val="20"/>
              </w:rPr>
              <w:t xml:space="preserve"> 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v období 12. 3. – 31. 12. 2020</w:t>
            </w:r>
            <w:r w:rsidRPr="002F7810">
              <w:rPr>
                <w:rFonts w:cstheme="minorHAnsi"/>
                <w:sz w:val="20"/>
                <w:szCs w:val="20"/>
              </w:rPr>
              <w:t xml:space="preserve"> 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 xml:space="preserve">realizován projekt </w:t>
            </w:r>
            <w:r w:rsidR="00F850D8" w:rsidRPr="002F7810">
              <w:rPr>
                <w:rFonts w:cstheme="minorHAnsi"/>
                <w:color w:val="auto"/>
                <w:sz w:val="20"/>
                <w:szCs w:val="20"/>
              </w:rPr>
              <w:t>„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Podpora zaměstnanosti prostřednictvím cíleného programu Antivirus A</w:t>
            </w:r>
            <w:r w:rsidR="00F850D8" w:rsidRPr="002F7810">
              <w:rPr>
                <w:rFonts w:cstheme="minorHAnsi"/>
                <w:color w:val="auto"/>
                <w:sz w:val="20"/>
                <w:szCs w:val="20"/>
              </w:rPr>
              <w:t>“</w:t>
            </w:r>
            <w:r w:rsidRPr="002F7810">
              <w:rPr>
                <w:rFonts w:cstheme="minorHAnsi"/>
                <w:sz w:val="20"/>
                <w:szCs w:val="20"/>
              </w:rPr>
              <w:t>, příjemcem byl Ú</w:t>
            </w:r>
            <w:r w:rsidR="00F850D8" w:rsidRPr="002F7810">
              <w:rPr>
                <w:rFonts w:cstheme="minorHAnsi"/>
                <w:sz w:val="20"/>
                <w:szCs w:val="20"/>
              </w:rPr>
              <w:t>P</w:t>
            </w:r>
            <w:r w:rsidRPr="002F7810">
              <w:rPr>
                <w:rFonts w:cstheme="minorHAnsi"/>
                <w:sz w:val="20"/>
                <w:szCs w:val="20"/>
              </w:rPr>
              <w:t xml:space="preserve"> ČR. 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 xml:space="preserve">Závěrečná ZoR/ŽoP byla schválena dne 30. 7. 2021 ve </w:t>
            </w:r>
            <w:r w:rsidRPr="00297C71">
              <w:rPr>
                <w:rFonts w:cstheme="minorHAnsi"/>
                <w:color w:val="auto"/>
                <w:sz w:val="20"/>
                <w:szCs w:val="20"/>
              </w:rPr>
              <w:t>výši 1</w:t>
            </w:r>
            <w:r w:rsidRPr="00297C71">
              <w:rPr>
                <w:rFonts w:cstheme="minorHAnsi"/>
                <w:sz w:val="20"/>
                <w:szCs w:val="20"/>
              </w:rPr>
              <w:t xml:space="preserve">68 </w:t>
            </w:r>
            <w:r w:rsidRPr="00297C71">
              <w:rPr>
                <w:rFonts w:cstheme="minorHAnsi"/>
                <w:color w:val="auto"/>
                <w:sz w:val="20"/>
                <w:szCs w:val="20"/>
              </w:rPr>
              <w:t>mil. EUR.</w:t>
            </w:r>
            <w:r w:rsidRPr="00297C71">
              <w:rPr>
                <w:rFonts w:cstheme="minorHAnsi"/>
                <w:sz w:val="20"/>
                <w:szCs w:val="20"/>
              </w:rPr>
              <w:t xml:space="preserve"> </w:t>
            </w:r>
            <w:r w:rsidRPr="00297C71">
              <w:rPr>
                <w:rFonts w:cstheme="minorHAnsi"/>
                <w:color w:val="auto"/>
                <w:sz w:val="20"/>
                <w:szCs w:val="20"/>
              </w:rPr>
              <w:t>V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 xml:space="preserve"> rámci projektu bylo podpořeno 146 240 zaměstnanců a 21 354 zaměstnavatelů.</w:t>
            </w:r>
            <w:r w:rsidRPr="002F7810">
              <w:rPr>
                <w:rFonts w:cstheme="minorHAnsi"/>
                <w:sz w:val="20"/>
                <w:szCs w:val="20"/>
              </w:rPr>
              <w:t xml:space="preserve"> 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Dne 15. 9. 2021 byla zahájena kontrola na místě, která pro</w:t>
            </w:r>
            <w:r w:rsidRPr="002F7810">
              <w:rPr>
                <w:rFonts w:cstheme="minorHAnsi"/>
                <w:sz w:val="20"/>
                <w:szCs w:val="20"/>
              </w:rPr>
              <w:t>běhla n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a vybraných krajských pobočkách Ú</w:t>
            </w:r>
            <w:r w:rsidR="00F850D8" w:rsidRPr="002F7810">
              <w:rPr>
                <w:rFonts w:cstheme="minorHAnsi"/>
                <w:color w:val="auto"/>
                <w:sz w:val="20"/>
                <w:szCs w:val="20"/>
              </w:rPr>
              <w:t>P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 xml:space="preserve"> ČR</w:t>
            </w:r>
            <w:r w:rsidRPr="002F7810">
              <w:rPr>
                <w:rFonts w:cstheme="minorHAnsi"/>
                <w:sz w:val="20"/>
                <w:szCs w:val="20"/>
              </w:rPr>
              <w:t xml:space="preserve"> (kontrolní vzorek byl stanoven ve výši 1 % schválených výdajů závěrečné ŽoP). Kontrolní protokol byl zpracován ke dni 12. 4. 2022, v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 xml:space="preserve"> rámci kontroly bylo v kontrolním vzorku nalezeno 36 % kontrolních zjištění a identifikováno 21 % nezpůsobilých výdajů.</w:t>
            </w:r>
            <w:r w:rsidRPr="002F7810">
              <w:rPr>
                <w:rFonts w:cstheme="minorHAnsi"/>
                <w:sz w:val="20"/>
                <w:szCs w:val="20"/>
              </w:rPr>
              <w:t xml:space="preserve"> Po dodatečném 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došetření a</w:t>
            </w:r>
            <w:r w:rsidR="00F80DC2" w:rsidRPr="002F7810">
              <w:rPr>
                <w:rFonts w:cstheme="minorHAnsi"/>
                <w:color w:val="auto"/>
                <w:sz w:val="20"/>
                <w:szCs w:val="20"/>
              </w:rPr>
              <w:t> 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 xml:space="preserve">zpracování dodatku k protokolu došlo ke </w:t>
            </w:r>
            <w:r w:rsidRPr="002F7810">
              <w:rPr>
                <w:rFonts w:cstheme="minorHAnsi"/>
                <w:sz w:val="20"/>
                <w:szCs w:val="20"/>
              </w:rPr>
              <w:t>s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nížení počtu kontrolních zjištění na 34 % a snížení objemu nezpůsobilých výdajů na</w:t>
            </w:r>
            <w:r w:rsidR="00BB692F" w:rsidRPr="002F7810">
              <w:rPr>
                <w:rFonts w:cstheme="minorHAnsi"/>
                <w:color w:val="auto"/>
                <w:sz w:val="20"/>
                <w:szCs w:val="20"/>
              </w:rPr>
              <w:t> 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17</w:t>
            </w:r>
            <w:r w:rsidR="00BB692F" w:rsidRPr="002F7810">
              <w:rPr>
                <w:rFonts w:cstheme="minorHAnsi"/>
                <w:color w:val="auto"/>
                <w:sz w:val="20"/>
                <w:szCs w:val="20"/>
              </w:rPr>
              <w:t> 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 xml:space="preserve">%. </w:t>
            </w:r>
          </w:p>
          <w:p w14:paraId="6C312164" w14:textId="2748AA9E" w:rsidR="00F73D7E" w:rsidRPr="002F7810" w:rsidRDefault="00F73D7E" w:rsidP="00105CB2">
            <w:pPr>
              <w:spacing w:after="120"/>
              <w:ind w:left="136" w:right="238"/>
              <w:rPr>
                <w:rFonts w:cstheme="minorHAnsi"/>
                <w:sz w:val="20"/>
                <w:szCs w:val="20"/>
              </w:rPr>
            </w:pPr>
            <w:r w:rsidRPr="002F7810">
              <w:rPr>
                <w:rFonts w:cstheme="minorHAnsi"/>
                <w:color w:val="auto"/>
                <w:sz w:val="20"/>
                <w:szCs w:val="20"/>
              </w:rPr>
              <w:t>Ve výzvě č. 1</w:t>
            </w:r>
            <w:r w:rsidRPr="002F7810">
              <w:rPr>
                <w:rFonts w:cstheme="minorHAnsi"/>
                <w:sz w:val="20"/>
                <w:szCs w:val="20"/>
              </w:rPr>
              <w:t xml:space="preserve">40 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„Antivirus A</w:t>
            </w:r>
            <w:r w:rsidRPr="002F7810">
              <w:rPr>
                <w:rFonts w:cstheme="minorHAnsi"/>
                <w:sz w:val="20"/>
                <w:szCs w:val="20"/>
              </w:rPr>
              <w:t xml:space="preserve"> II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”</w:t>
            </w:r>
            <w:r w:rsidRPr="002F7810">
              <w:rPr>
                <w:rFonts w:cstheme="minorHAnsi"/>
                <w:sz w:val="20"/>
                <w:szCs w:val="20"/>
              </w:rPr>
              <w:t xml:space="preserve">, která svým zaměřením navázala na výzvu č. 138, 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byl</w:t>
            </w:r>
            <w:r w:rsidRPr="002F7810">
              <w:rPr>
                <w:rFonts w:cstheme="minorHAnsi"/>
                <w:sz w:val="20"/>
                <w:szCs w:val="20"/>
              </w:rPr>
              <w:t xml:space="preserve"> 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v</w:t>
            </w:r>
            <w:r w:rsidRPr="002F7810">
              <w:rPr>
                <w:rFonts w:cstheme="minorHAnsi"/>
                <w:sz w:val="20"/>
                <w:szCs w:val="20"/>
              </w:rPr>
              <w:t> 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období</w:t>
            </w:r>
            <w:r w:rsidRPr="002F7810">
              <w:rPr>
                <w:rFonts w:cstheme="minorHAnsi"/>
                <w:sz w:val="20"/>
                <w:szCs w:val="20"/>
              </w:rPr>
              <w:t xml:space="preserve"> 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1. 11. 2020 - 31. 10. 2021 realizován projekt</w:t>
            </w:r>
            <w:r w:rsidRPr="002F7810">
              <w:rPr>
                <w:rFonts w:cstheme="minorHAnsi"/>
                <w:sz w:val="20"/>
                <w:szCs w:val="20"/>
              </w:rPr>
              <w:t xml:space="preserve"> </w:t>
            </w:r>
            <w:r w:rsidR="00BB692F" w:rsidRPr="002F7810">
              <w:rPr>
                <w:rFonts w:cstheme="minorHAnsi"/>
                <w:sz w:val="20"/>
                <w:szCs w:val="20"/>
              </w:rPr>
              <w:t>„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Podpora zaměstnanosti prostřednictvím cíleného programu Antivirus A II</w:t>
            </w:r>
            <w:r w:rsidR="00BB692F" w:rsidRPr="002F7810">
              <w:rPr>
                <w:rFonts w:cstheme="minorHAnsi"/>
                <w:color w:val="auto"/>
                <w:sz w:val="20"/>
                <w:szCs w:val="20"/>
              </w:rPr>
              <w:t>“</w:t>
            </w:r>
            <w:r w:rsidRPr="002F7810">
              <w:rPr>
                <w:rFonts w:cstheme="minorHAnsi"/>
                <w:sz w:val="20"/>
                <w:szCs w:val="20"/>
              </w:rPr>
              <w:t>, příjemcem byl opět Ú</w:t>
            </w:r>
            <w:r w:rsidR="00BB692F" w:rsidRPr="002F7810">
              <w:rPr>
                <w:rFonts w:cstheme="minorHAnsi"/>
                <w:sz w:val="20"/>
                <w:szCs w:val="20"/>
              </w:rPr>
              <w:t>P</w:t>
            </w:r>
            <w:r w:rsidRPr="002F7810">
              <w:rPr>
                <w:rFonts w:cstheme="minorHAnsi"/>
                <w:sz w:val="20"/>
                <w:szCs w:val="20"/>
              </w:rPr>
              <w:t xml:space="preserve"> ČR. 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 xml:space="preserve">Závěrečná ZoR/ŽoP byla schválena dne </w:t>
            </w:r>
            <w:r w:rsidRPr="002F7810">
              <w:rPr>
                <w:rFonts w:cstheme="minorHAnsi"/>
                <w:sz w:val="20"/>
                <w:szCs w:val="20"/>
              </w:rPr>
              <w:t>14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 xml:space="preserve">. </w:t>
            </w:r>
            <w:r w:rsidRPr="002F7810">
              <w:rPr>
                <w:rFonts w:cstheme="minorHAnsi"/>
                <w:sz w:val="20"/>
                <w:szCs w:val="20"/>
              </w:rPr>
              <w:t>11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. 202</w:t>
            </w:r>
            <w:r w:rsidRPr="002F7810">
              <w:rPr>
                <w:rFonts w:cstheme="minorHAnsi"/>
                <w:sz w:val="20"/>
                <w:szCs w:val="20"/>
              </w:rPr>
              <w:t>2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 xml:space="preserve"> ve výši 1</w:t>
            </w:r>
            <w:r w:rsidRPr="002F7810">
              <w:rPr>
                <w:rFonts w:cstheme="minorHAnsi"/>
                <w:sz w:val="20"/>
                <w:szCs w:val="20"/>
              </w:rPr>
              <w:t>02,66 mil. EUR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.</w:t>
            </w:r>
            <w:r w:rsidRPr="002F7810">
              <w:rPr>
                <w:rFonts w:cstheme="minorHAnsi"/>
                <w:sz w:val="20"/>
                <w:szCs w:val="20"/>
              </w:rPr>
              <w:t xml:space="preserve"> 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V</w:t>
            </w:r>
            <w:r w:rsidR="00BB692F" w:rsidRPr="002F7810">
              <w:rPr>
                <w:rFonts w:cstheme="minorHAnsi"/>
                <w:color w:val="auto"/>
                <w:sz w:val="20"/>
                <w:szCs w:val="20"/>
              </w:rPr>
              <w:t> 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rámci projektu bylo podpořeno</w:t>
            </w:r>
            <w:r w:rsidRPr="002F7810">
              <w:rPr>
                <w:rFonts w:cstheme="minorHAnsi"/>
                <w:sz w:val="20"/>
                <w:szCs w:val="20"/>
              </w:rPr>
              <w:t xml:space="preserve"> 141 179 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zaměstnanců</w:t>
            </w:r>
            <w:r w:rsidRPr="002F7810">
              <w:rPr>
                <w:rFonts w:cstheme="minorHAnsi"/>
                <w:sz w:val="20"/>
                <w:szCs w:val="20"/>
              </w:rPr>
              <w:t xml:space="preserve"> a 12 460 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zaměstnavatelů.</w:t>
            </w:r>
            <w:r w:rsidRPr="002F7810">
              <w:rPr>
                <w:rFonts w:cstheme="minorHAnsi"/>
                <w:sz w:val="20"/>
                <w:szCs w:val="20"/>
              </w:rPr>
              <w:t xml:space="preserve"> 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Ve druhém čtvrtletí roku 2023 se u výše uvedeného projektu předpokládá zahájení kontroly na místě.</w:t>
            </w:r>
          </w:p>
          <w:p w14:paraId="6DFABDBF" w14:textId="103EA1FC" w:rsidR="00F73D7E" w:rsidRPr="002F7810" w:rsidRDefault="00F73D7E" w:rsidP="00397699">
            <w:pPr>
              <w:spacing w:after="120"/>
              <w:ind w:left="136" w:right="238"/>
              <w:rPr>
                <w:rFonts w:cstheme="minorHAnsi"/>
                <w:color w:val="auto"/>
                <w:sz w:val="20"/>
                <w:szCs w:val="20"/>
              </w:rPr>
            </w:pPr>
            <w:r w:rsidRPr="002F7810">
              <w:rPr>
                <w:rFonts w:cstheme="minorHAnsi"/>
                <w:color w:val="auto"/>
                <w:sz w:val="20"/>
                <w:szCs w:val="20"/>
              </w:rPr>
              <w:t xml:space="preserve">V listopadu </w:t>
            </w:r>
            <w:r w:rsidRPr="002F7810">
              <w:rPr>
                <w:rFonts w:cstheme="minorHAnsi"/>
                <w:sz w:val="20"/>
                <w:szCs w:val="20"/>
              </w:rPr>
              <w:t xml:space="preserve">2022 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byla na MPSV zahájena kontrolní akce Nejvyššího kontrolního úřadu č. 22/28 s názvem „Peněžní prostředky státního rozpočtu a Evropské unie určené na podporu zaměstnanosti“. Dva výše uvedené projekty „Podpora zaměstnanosti prostřednictvím cíleného programu Antivirus A“ (výzva č. 138) a „Podpora zaměstnanosti prostřednictvím cíleného programu Antivirus A II“ (výzva č. 140) patří mezi kontrolované oblasti. Předpoklad ukončení kontrolní akce je v polovině roku 2023.</w:t>
            </w:r>
          </w:p>
          <w:p w14:paraId="474E3808" w14:textId="4FAB47A9" w:rsidR="00F73D7E" w:rsidRPr="00CA1D13" w:rsidRDefault="00F73D7E" w:rsidP="00105CB2">
            <w:pPr>
              <w:spacing w:after="120"/>
              <w:ind w:left="136" w:right="238"/>
              <w:rPr>
                <w:rFonts w:cstheme="minorHAnsi"/>
                <w:color w:val="auto"/>
                <w:sz w:val="20"/>
                <w:szCs w:val="20"/>
              </w:rPr>
            </w:pPr>
            <w:r w:rsidRPr="002F7810">
              <w:rPr>
                <w:rFonts w:cstheme="minorHAnsi"/>
                <w:color w:val="auto"/>
                <w:sz w:val="20"/>
                <w:szCs w:val="20"/>
              </w:rPr>
              <w:t>Ve výzvě č. 79 „Age management – chytrá změna v řízení, příležitost k růstu“</w:t>
            </w:r>
            <w:r w:rsidR="00B43BAF" w:rsidRPr="002F7810">
              <w:rPr>
                <w:rFonts w:cstheme="minorHAnsi"/>
                <w:color w:val="auto"/>
                <w:sz w:val="20"/>
                <w:szCs w:val="20"/>
              </w:rPr>
              <w:t>,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 xml:space="preserve"> zaměřené na podporu zavádění age managementu a související systémové práce s lidskými zdroji jakožto jednoho z důležitých faktorů </w:t>
            </w:r>
            <w:r w:rsidRPr="00CA1D13">
              <w:rPr>
                <w:rFonts w:cstheme="minorHAnsi"/>
                <w:color w:val="auto"/>
                <w:sz w:val="20"/>
                <w:szCs w:val="20"/>
              </w:rPr>
              <w:t xml:space="preserve">konkurenceschopnosti podniků na trhu v kontextu demografického vývoje v ČR a s tím souvisejícího prodlužování pracovního života, byla dokončena administrace závěrečných zpráv u posledních 45 projektů, proplaceno bylo 1,4 mil. EUR. </w:t>
            </w:r>
          </w:p>
          <w:p w14:paraId="1EC85743" w14:textId="3CB5EBCF" w:rsidR="00F73D7E" w:rsidRPr="002F7810" w:rsidRDefault="00F73D7E" w:rsidP="00105CB2">
            <w:pPr>
              <w:spacing w:after="120"/>
              <w:ind w:left="123" w:right="238" w:hanging="23"/>
              <w:rPr>
                <w:rFonts w:cstheme="minorHAnsi"/>
                <w:color w:val="auto"/>
                <w:sz w:val="20"/>
                <w:szCs w:val="20"/>
              </w:rPr>
            </w:pPr>
            <w:bookmarkStart w:id="0" w:name="_Hlk96890652"/>
            <w:r w:rsidRPr="00CA1D13">
              <w:rPr>
                <w:rFonts w:cstheme="minorHAnsi"/>
                <w:color w:val="auto"/>
                <w:sz w:val="20"/>
                <w:szCs w:val="20"/>
              </w:rPr>
              <w:t xml:space="preserve">Ve výzvě č. 94 </w:t>
            </w:r>
            <w:bookmarkEnd w:id="0"/>
            <w:r w:rsidRPr="00CA1D13">
              <w:rPr>
                <w:rFonts w:cstheme="minorHAnsi"/>
                <w:color w:val="auto"/>
                <w:sz w:val="20"/>
                <w:szCs w:val="20"/>
              </w:rPr>
              <w:t>„Budování kapacit sociálních partnerů II“</w:t>
            </w:r>
            <w:r w:rsidRPr="00CA1D13">
              <w:rPr>
                <w:rFonts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B43BAF" w:rsidRPr="00CA1D13">
              <w:rPr>
                <w:rFonts w:cstheme="minorHAnsi"/>
                <w:color w:val="auto"/>
                <w:sz w:val="20"/>
                <w:szCs w:val="20"/>
              </w:rPr>
              <w:t xml:space="preserve">s </w:t>
            </w:r>
            <w:r w:rsidRPr="00CA1D13">
              <w:rPr>
                <w:rFonts w:cstheme="minorHAnsi"/>
                <w:color w:val="auto"/>
                <w:sz w:val="20"/>
                <w:szCs w:val="20"/>
              </w:rPr>
              <w:t>celkov</w:t>
            </w:r>
            <w:r w:rsidR="00B43BAF" w:rsidRPr="00CA1D13">
              <w:rPr>
                <w:rFonts w:cstheme="minorHAnsi"/>
                <w:color w:val="auto"/>
                <w:sz w:val="20"/>
                <w:szCs w:val="20"/>
              </w:rPr>
              <w:t>ou</w:t>
            </w:r>
            <w:r w:rsidRPr="00CA1D13">
              <w:rPr>
                <w:rFonts w:cstheme="minorHAnsi"/>
                <w:color w:val="auto"/>
                <w:sz w:val="20"/>
                <w:szCs w:val="20"/>
              </w:rPr>
              <w:t xml:space="preserve"> alokac</w:t>
            </w:r>
            <w:r w:rsidR="00B43BAF" w:rsidRPr="00CA1D13">
              <w:rPr>
                <w:rFonts w:cstheme="minorHAnsi"/>
                <w:color w:val="auto"/>
                <w:sz w:val="20"/>
                <w:szCs w:val="20"/>
              </w:rPr>
              <w:t>í</w:t>
            </w:r>
            <w:r w:rsidRPr="00CA1D13">
              <w:rPr>
                <w:rFonts w:cstheme="minorHAnsi"/>
                <w:color w:val="auto"/>
                <w:sz w:val="20"/>
                <w:szCs w:val="20"/>
              </w:rPr>
              <w:t xml:space="preserve"> 9,4 mil. EUR, která je zaměřen</w:t>
            </w:r>
            <w:r w:rsidR="00B43BAF" w:rsidRPr="00CA1D13">
              <w:rPr>
                <w:rFonts w:cstheme="minorHAnsi"/>
                <w:color w:val="auto"/>
                <w:sz w:val="20"/>
                <w:szCs w:val="20"/>
              </w:rPr>
              <w:t>a</w:t>
            </w:r>
            <w:r w:rsidRPr="00CA1D13">
              <w:rPr>
                <w:rFonts w:cstheme="minorHAnsi"/>
                <w:color w:val="auto"/>
                <w:sz w:val="20"/>
                <w:szCs w:val="20"/>
              </w:rPr>
              <w:t xml:space="preserve"> na podporu sociálního dialogu a jejímž hlavním cílem je zvýšit odbornou úroveň znalostí, dovedností </w:t>
            </w:r>
            <w:r w:rsidRPr="00CA1D13">
              <w:rPr>
                <w:rFonts w:cstheme="minorHAnsi"/>
                <w:color w:val="auto"/>
                <w:sz w:val="20"/>
                <w:szCs w:val="20"/>
              </w:rPr>
              <w:br/>
              <w:t xml:space="preserve">a kompetencí pracovníků a soulad kvalifikační úrovně pracovní síly s požadavky trhu práce, pokračovala v roce 2022 realizace </w:t>
            </w:r>
            <w:r w:rsidR="00B43BAF" w:rsidRPr="00CA1D13">
              <w:rPr>
                <w:rFonts w:cstheme="minorHAnsi"/>
                <w:color w:val="auto"/>
                <w:sz w:val="20"/>
                <w:szCs w:val="20"/>
              </w:rPr>
              <w:t>deseti</w:t>
            </w:r>
            <w:r w:rsidRPr="00CA1D13">
              <w:rPr>
                <w:rFonts w:cstheme="minorHAnsi"/>
                <w:color w:val="auto"/>
                <w:sz w:val="20"/>
                <w:szCs w:val="20"/>
              </w:rPr>
              <w:t xml:space="preserve"> projektů v celkovém objemu 7,9 mil. EUR. Od počátku své realizace do konce roku 2022 projekty vyčerpaly celkem 6,6 mil. EUR.</w:t>
            </w:r>
          </w:p>
          <w:p w14:paraId="06C85C57" w14:textId="5DE167B2" w:rsidR="00F73D7E" w:rsidRPr="002F7810" w:rsidRDefault="00F73D7E" w:rsidP="00105CB2">
            <w:pPr>
              <w:spacing w:after="120"/>
              <w:ind w:left="136" w:right="238"/>
              <w:rPr>
                <w:rFonts w:cstheme="minorHAnsi"/>
                <w:color w:val="auto"/>
                <w:sz w:val="20"/>
                <w:szCs w:val="20"/>
              </w:rPr>
            </w:pPr>
            <w:r w:rsidRPr="002F7810">
              <w:rPr>
                <w:rFonts w:cstheme="minorHAnsi"/>
                <w:color w:val="auto"/>
                <w:sz w:val="20"/>
                <w:szCs w:val="20"/>
              </w:rPr>
              <w:t xml:space="preserve">Ve výzvě č. 21 „Další profesní vzdělávání zaměstnanců podporované zaměstnavateli“ pokračovala v roce 2022 realizace projektu </w:t>
            </w:r>
            <w:r w:rsidR="005554D0" w:rsidRPr="002F7810">
              <w:rPr>
                <w:rFonts w:cstheme="minorHAnsi"/>
                <w:color w:val="auto"/>
                <w:sz w:val="20"/>
                <w:szCs w:val="20"/>
              </w:rPr>
              <w:t>„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POVEZ II (Podpora odborného vzdělávání zaměstnanců II)</w:t>
            </w:r>
            <w:r w:rsidR="005554D0" w:rsidRPr="002F7810">
              <w:rPr>
                <w:rFonts w:cstheme="minorHAnsi"/>
                <w:color w:val="auto"/>
                <w:sz w:val="20"/>
                <w:szCs w:val="20"/>
              </w:rPr>
              <w:t>“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 xml:space="preserve"> s celkovou alokací 164 mil. EUR. </w:t>
            </w:r>
          </w:p>
          <w:p w14:paraId="4F8B3585" w14:textId="77777777" w:rsidR="00F73D7E" w:rsidRPr="002F7810" w:rsidRDefault="00F73D7E" w:rsidP="00105CB2">
            <w:pPr>
              <w:ind w:left="100" w:right="246"/>
              <w:rPr>
                <w:rFonts w:eastAsia="Arial" w:cstheme="minorHAnsi"/>
                <w:color w:val="auto"/>
                <w:sz w:val="20"/>
                <w:szCs w:val="20"/>
              </w:rPr>
            </w:pPr>
            <w:r w:rsidRPr="002F7810">
              <w:rPr>
                <w:rFonts w:eastAsia="Arial" w:cstheme="minorHAnsi"/>
                <w:color w:val="auto"/>
                <w:sz w:val="20"/>
                <w:szCs w:val="20"/>
              </w:rPr>
              <w:lastRenderedPageBreak/>
              <w:t>V roce 2021 v IP 1.3 rovněž pokračovala realizace projektů v režimu zjednodušeného vykazování výdajů formou jednotkových nákladů zaměřených na další profesní vzdělávání zaměstnanců prostřednictvím tří výzev.</w:t>
            </w:r>
          </w:p>
          <w:p w14:paraId="2A9106D6" w14:textId="77777777" w:rsidR="00F73D7E" w:rsidRPr="002F7810" w:rsidRDefault="00F73D7E" w:rsidP="00397699">
            <w:pPr>
              <w:spacing w:after="120"/>
              <w:ind w:left="100" w:right="238"/>
              <w:rPr>
                <w:rFonts w:eastAsia="Arial" w:cstheme="minorHAnsi"/>
                <w:sz w:val="20"/>
                <w:szCs w:val="20"/>
              </w:rPr>
            </w:pPr>
            <w:r w:rsidRPr="002F7810">
              <w:rPr>
                <w:rFonts w:eastAsia="Arial" w:cstheme="minorHAnsi"/>
                <w:sz w:val="20"/>
                <w:szCs w:val="20"/>
              </w:rPr>
              <w:t>Ve výzvě č. 97 „Podnikové vzdělávání zaměstnanců II“, kde byly uzavřeny právní akty za více než 93 mil. EUR, pokračovala realizace projektů, přičemž velká část projektů požádala o prodloužení doby realizace projektu do poloviny roku 2023, a to zejména v návaznosti na omezené možnosti realizace projektových aktivit v době mimořádných opatření proti šíření covid-19. V žádostech o platbu bylo do konce roku 2022 vyúčtováno téměř 51 mil. EUR.</w:t>
            </w:r>
          </w:p>
          <w:p w14:paraId="18BFF937" w14:textId="527F858D" w:rsidR="00F73D7E" w:rsidRPr="002F7810" w:rsidRDefault="00F73D7E" w:rsidP="00397699">
            <w:pPr>
              <w:spacing w:after="120"/>
              <w:ind w:left="100" w:right="238"/>
              <w:rPr>
                <w:rFonts w:eastAsia="Arial" w:cstheme="minorHAnsi"/>
                <w:sz w:val="20"/>
                <w:szCs w:val="20"/>
              </w:rPr>
            </w:pPr>
            <w:r w:rsidRPr="002F7810">
              <w:rPr>
                <w:rFonts w:eastAsia="Arial" w:cstheme="minorHAnsi"/>
                <w:sz w:val="20"/>
                <w:szCs w:val="20"/>
              </w:rPr>
              <w:t>Prodlužování realizace projektů se týkalo ze stejných důvodu také výzvy č. 110 „</w:t>
            </w:r>
            <w:r w:rsidR="005554D0" w:rsidRPr="002F7810">
              <w:rPr>
                <w:rFonts w:eastAsia="Arial" w:cstheme="minorHAnsi"/>
                <w:sz w:val="20"/>
                <w:szCs w:val="20"/>
              </w:rPr>
              <w:t>Vzdělávání – společná</w:t>
            </w:r>
            <w:r w:rsidRPr="002F7810">
              <w:rPr>
                <w:rFonts w:eastAsia="Arial" w:cstheme="minorHAnsi"/>
                <w:sz w:val="20"/>
                <w:szCs w:val="20"/>
              </w:rPr>
              <w:t xml:space="preserve"> cesta k rozvoji II!“, v rámci které byly uzavřeny právní akty za více než 56,5 mil. EUR. Do konce roku 2022 bylo v</w:t>
            </w:r>
            <w:r w:rsidR="00F80DC2" w:rsidRPr="002F7810">
              <w:rPr>
                <w:rFonts w:eastAsia="Arial" w:cstheme="minorHAnsi"/>
                <w:sz w:val="20"/>
                <w:szCs w:val="20"/>
              </w:rPr>
              <w:t> </w:t>
            </w:r>
            <w:r w:rsidRPr="002F7810">
              <w:rPr>
                <w:rFonts w:eastAsia="Arial" w:cstheme="minorHAnsi"/>
                <w:sz w:val="20"/>
                <w:szCs w:val="20"/>
              </w:rPr>
              <w:t>žádostech o platbu vyúčtováno více než 26,5 mil. EUR.</w:t>
            </w:r>
          </w:p>
          <w:p w14:paraId="6988B956" w14:textId="77777777" w:rsidR="00F73D7E" w:rsidRPr="002F7810" w:rsidRDefault="00F73D7E" w:rsidP="00105CB2">
            <w:pPr>
              <w:spacing w:after="120"/>
              <w:ind w:left="136" w:right="238"/>
              <w:rPr>
                <w:rFonts w:cstheme="minorHAnsi"/>
                <w:b/>
                <w:sz w:val="20"/>
                <w:szCs w:val="20"/>
              </w:rPr>
            </w:pPr>
            <w:r w:rsidRPr="002F7810">
              <w:rPr>
                <w:rFonts w:cstheme="minorHAnsi"/>
                <w:b/>
                <w:sz w:val="20"/>
                <w:szCs w:val="20"/>
              </w:rPr>
              <w:t>IP1.4</w:t>
            </w:r>
            <w:r w:rsidRPr="002F7810">
              <w:rPr>
                <w:rFonts w:cstheme="minorHAnsi"/>
                <w:sz w:val="20"/>
                <w:szCs w:val="20"/>
              </w:rPr>
              <w:t xml:space="preserve"> „</w:t>
            </w:r>
            <w:r w:rsidRPr="002F7810">
              <w:rPr>
                <w:rFonts w:cstheme="minorHAnsi"/>
                <w:b/>
                <w:sz w:val="20"/>
                <w:szCs w:val="20"/>
              </w:rPr>
              <w:t>Modernizace a posílení institucí trhu práce včetně opatření pro zlepšení nadnárodní mobility pracovníků“</w:t>
            </w:r>
          </w:p>
          <w:p w14:paraId="3D3AFE38" w14:textId="416CC5B9" w:rsidR="00F73D7E" w:rsidRPr="002F7810" w:rsidRDefault="00F73D7E" w:rsidP="00105CB2">
            <w:pPr>
              <w:spacing w:after="120"/>
              <w:ind w:left="136" w:right="238"/>
              <w:rPr>
                <w:rFonts w:cstheme="minorHAnsi"/>
                <w:sz w:val="20"/>
                <w:szCs w:val="20"/>
              </w:rPr>
            </w:pPr>
            <w:r w:rsidRPr="002F7810">
              <w:rPr>
                <w:rFonts w:cstheme="minorHAnsi"/>
                <w:sz w:val="20"/>
                <w:szCs w:val="20"/>
              </w:rPr>
              <w:t xml:space="preserve">Naplnění tematického cíle 8vii (Modernizace institucí trhu práce, jako jsou veřejné a soukromé služby zaměstnanosti a přispívání k adaptaci na potřeby trhu práce, včetně prostřednictvím opatření pro zlepšení nadnárodní mobility pracovníků a programů mobility a lepší spolupráce mezi institucemi a příslušnými zúčastněnými stranami) pro IP1.4 probíhá prostřednictvím projektů realizovaných v příslušných výzvách. </w:t>
            </w:r>
          </w:p>
          <w:p w14:paraId="35E8A00F" w14:textId="138405A2" w:rsidR="005554D0" w:rsidRPr="002F7810" w:rsidRDefault="005554D0" w:rsidP="005554D0">
            <w:pPr>
              <w:tabs>
                <w:tab w:val="left" w:pos="9060"/>
              </w:tabs>
              <w:spacing w:after="120"/>
              <w:ind w:left="136" w:right="238"/>
              <w:rPr>
                <w:rFonts w:cstheme="minorHAnsi"/>
                <w:color w:val="auto"/>
                <w:sz w:val="20"/>
                <w:szCs w:val="20"/>
              </w:rPr>
            </w:pPr>
            <w:r w:rsidRPr="002F7810">
              <w:rPr>
                <w:rFonts w:cstheme="minorHAnsi"/>
                <w:color w:val="auto"/>
                <w:sz w:val="20"/>
                <w:szCs w:val="20"/>
              </w:rPr>
              <w:t>V rámci IP 1.4 byly vyhlášeny celkem tři výzvy.</w:t>
            </w:r>
          </w:p>
          <w:p w14:paraId="2FBB86A5" w14:textId="77777777" w:rsidR="00FE40A3" w:rsidRPr="002F7810" w:rsidRDefault="00FE66D0" w:rsidP="00105CB2">
            <w:pPr>
              <w:spacing w:after="120"/>
              <w:ind w:left="136" w:right="238"/>
              <w:rPr>
                <w:rFonts w:eastAsia="Arial" w:cstheme="minorHAnsi"/>
                <w:sz w:val="20"/>
                <w:szCs w:val="20"/>
              </w:rPr>
            </w:pPr>
            <w:r w:rsidRPr="002F7810">
              <w:rPr>
                <w:rFonts w:eastAsia="Arial" w:cstheme="minorHAnsi"/>
                <w:sz w:val="20"/>
                <w:szCs w:val="20"/>
              </w:rPr>
              <w:t xml:space="preserve">V IP 1.4 ve výzvě č. 122 „Rozvoj služeb zaměstnanosti“ byly 31. 12. 2022 ukončeny projekty „Mapování budoucích kompetencí jako součást systémových opatření pro vymezení požadavků trhu práce (Kompetence 4.0)“ a „Predikce trhu práce (Kompas)“, analytické a metodické výstupy z projektů budou využity ke zvýšení efektivity a modernizaci služeb zaměstnanosti v rámci ČR. </w:t>
            </w:r>
          </w:p>
          <w:p w14:paraId="3D1022A6" w14:textId="4EF74CF0" w:rsidR="00F73D7E" w:rsidRPr="002F7810" w:rsidRDefault="00F73D7E" w:rsidP="00105CB2">
            <w:pPr>
              <w:tabs>
                <w:tab w:val="left" w:pos="9060"/>
              </w:tabs>
              <w:spacing w:after="120"/>
              <w:ind w:left="136" w:right="238"/>
              <w:rPr>
                <w:rFonts w:cstheme="minorHAnsi"/>
                <w:color w:val="auto"/>
                <w:sz w:val="20"/>
                <w:szCs w:val="20"/>
              </w:rPr>
            </w:pPr>
            <w:r w:rsidRPr="002F7810">
              <w:rPr>
                <w:rFonts w:cstheme="minorHAnsi"/>
                <w:color w:val="auto"/>
                <w:sz w:val="20"/>
                <w:szCs w:val="20"/>
              </w:rPr>
              <w:t>Ve výzvě č. 11 „Rozvoj služeb zaměstnanosti v rámci Úřadu práce ČR</w:t>
            </w:r>
            <w:r w:rsidRPr="002F7810">
              <w:rPr>
                <w:rFonts w:cstheme="minorHAnsi"/>
                <w:b/>
                <w:bCs/>
                <w:color w:val="auto"/>
                <w:sz w:val="20"/>
                <w:szCs w:val="20"/>
              </w:rPr>
              <w:t>“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 xml:space="preserve"> jsou realizovány </w:t>
            </w:r>
            <w:r w:rsidR="001A6499" w:rsidRPr="002F7810">
              <w:rPr>
                <w:rFonts w:cstheme="minorHAnsi"/>
                <w:color w:val="auto"/>
                <w:sz w:val="20"/>
                <w:szCs w:val="20"/>
              </w:rPr>
              <w:t>čtyři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 xml:space="preserve"> projekty v</w:t>
            </w:r>
            <w:r w:rsidR="00FE40A3" w:rsidRPr="002F7810">
              <w:rPr>
                <w:rFonts w:cstheme="minorHAnsi"/>
                <w:color w:val="auto"/>
                <w:sz w:val="20"/>
                <w:szCs w:val="20"/>
              </w:rPr>
              <w:t> 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 xml:space="preserve">celkovém objemu 73,4 mil. EUR. V předchozích letech byla projektům </w:t>
            </w:r>
            <w:r w:rsidR="001A6499" w:rsidRPr="002F7810">
              <w:rPr>
                <w:rFonts w:cstheme="minorHAnsi"/>
                <w:color w:val="auto"/>
                <w:sz w:val="20"/>
                <w:szCs w:val="20"/>
              </w:rPr>
              <w:t xml:space="preserve">několikrát 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 xml:space="preserve">prodloužena </w:t>
            </w:r>
            <w:r w:rsidR="00FE40A3" w:rsidRPr="002F7810">
              <w:rPr>
                <w:rFonts w:cstheme="minorHAnsi"/>
                <w:color w:val="auto"/>
                <w:sz w:val="20"/>
                <w:szCs w:val="20"/>
              </w:rPr>
              <w:t>realizace, projekt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r w:rsidR="001A6499" w:rsidRPr="002F7810">
              <w:rPr>
                <w:rFonts w:cstheme="minorHAnsi"/>
                <w:color w:val="auto"/>
                <w:sz w:val="20"/>
                <w:szCs w:val="20"/>
              </w:rPr>
              <w:t>„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Rozvoj systému podpory zaměstnávání osob se zdravotním postižením na volném trhu práce (OZP)</w:t>
            </w:r>
            <w:r w:rsidR="001A6499" w:rsidRPr="002F7810">
              <w:rPr>
                <w:rFonts w:cstheme="minorHAnsi"/>
                <w:color w:val="auto"/>
                <w:sz w:val="20"/>
                <w:szCs w:val="20"/>
              </w:rPr>
              <w:t>“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r w:rsidR="001A6499" w:rsidRPr="002F7810">
              <w:rPr>
                <w:rFonts w:cstheme="minorHAnsi"/>
                <w:color w:val="auto"/>
                <w:sz w:val="20"/>
                <w:szCs w:val="20"/>
              </w:rPr>
              <w:t xml:space="preserve">poběží 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 xml:space="preserve">do března 2023, projekt </w:t>
            </w:r>
            <w:r w:rsidR="001A6499" w:rsidRPr="002F7810">
              <w:rPr>
                <w:rFonts w:cstheme="minorHAnsi"/>
                <w:color w:val="auto"/>
                <w:sz w:val="20"/>
                <w:szCs w:val="20"/>
              </w:rPr>
              <w:t>„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Evropské služby zaměstnanosti ČR II (EURES)</w:t>
            </w:r>
            <w:r w:rsidR="001A6499" w:rsidRPr="002F7810">
              <w:rPr>
                <w:rFonts w:cstheme="minorHAnsi"/>
                <w:color w:val="auto"/>
                <w:sz w:val="20"/>
                <w:szCs w:val="20"/>
              </w:rPr>
              <w:t>“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 xml:space="preserve"> do června 2023, projektu </w:t>
            </w:r>
            <w:r w:rsidR="00FE40A3" w:rsidRPr="002F7810">
              <w:rPr>
                <w:rFonts w:cstheme="minorHAnsi"/>
                <w:color w:val="auto"/>
                <w:sz w:val="20"/>
                <w:szCs w:val="20"/>
              </w:rPr>
              <w:t>„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Podpora informačních a poradenských středisek ÚP ČR</w:t>
            </w:r>
            <w:r w:rsidR="001A6499" w:rsidRPr="002F7810">
              <w:rPr>
                <w:rFonts w:cstheme="minorHAnsi"/>
                <w:color w:val="auto"/>
                <w:sz w:val="20"/>
                <w:szCs w:val="20"/>
              </w:rPr>
              <w:t xml:space="preserve"> (PIPS)</w:t>
            </w:r>
            <w:r w:rsidR="00FE40A3" w:rsidRPr="002F7810">
              <w:rPr>
                <w:rFonts w:cstheme="minorHAnsi"/>
                <w:color w:val="auto"/>
                <w:sz w:val="20"/>
                <w:szCs w:val="20"/>
              </w:rPr>
              <w:t>“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r w:rsidR="00FE40A3" w:rsidRPr="002F7810">
              <w:rPr>
                <w:rFonts w:cstheme="minorHAnsi"/>
                <w:color w:val="auto"/>
                <w:sz w:val="20"/>
                <w:szCs w:val="20"/>
              </w:rPr>
              <w:t xml:space="preserve">byla prodloužena realizace 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 xml:space="preserve">do srpna 2023 a projektu </w:t>
            </w:r>
            <w:r w:rsidR="00FE40A3" w:rsidRPr="002F7810">
              <w:rPr>
                <w:rFonts w:cstheme="minorHAnsi"/>
                <w:color w:val="auto"/>
                <w:sz w:val="20"/>
                <w:szCs w:val="20"/>
              </w:rPr>
              <w:t>„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 xml:space="preserve">Efektivní služby zaměstnanosti </w:t>
            </w:r>
            <w:r w:rsidR="001A6499" w:rsidRPr="002F7810">
              <w:rPr>
                <w:rFonts w:cstheme="minorHAnsi"/>
                <w:color w:val="auto"/>
                <w:sz w:val="20"/>
                <w:szCs w:val="20"/>
              </w:rPr>
              <w:t xml:space="preserve">(EFES)“ 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do listopadu 2023</w:t>
            </w:r>
            <w:r w:rsidR="00FE40A3" w:rsidRPr="002F7810">
              <w:rPr>
                <w:rFonts w:cstheme="minorHAnsi"/>
                <w:color w:val="auto"/>
                <w:sz w:val="20"/>
                <w:szCs w:val="20"/>
              </w:rPr>
              <w:t>.</w:t>
            </w:r>
          </w:p>
          <w:p w14:paraId="06B1D54B" w14:textId="2B2F090D" w:rsidR="00F73D7E" w:rsidRPr="002F7810" w:rsidRDefault="00F73D7E" w:rsidP="00397699">
            <w:pPr>
              <w:spacing w:after="120"/>
              <w:ind w:left="136" w:right="238"/>
              <w:rPr>
                <w:rFonts w:cstheme="minorHAnsi"/>
                <w:iCs/>
                <w:color w:val="auto"/>
                <w:sz w:val="20"/>
                <w:szCs w:val="20"/>
              </w:rPr>
            </w:pPr>
            <w:r w:rsidRPr="00CA1D13">
              <w:rPr>
                <w:rFonts w:cstheme="minorHAnsi"/>
                <w:color w:val="auto"/>
                <w:sz w:val="20"/>
                <w:szCs w:val="20"/>
              </w:rPr>
              <w:t xml:space="preserve">Ve výzvě č. 20 „Rozvoj dalšího profesního vzdělávání“ s alokací 42,5 </w:t>
            </w:r>
            <w:r w:rsidR="00CA1D13" w:rsidRPr="00CA1D13">
              <w:rPr>
                <w:rFonts w:cstheme="minorHAnsi"/>
                <w:color w:val="auto"/>
                <w:sz w:val="20"/>
                <w:szCs w:val="20"/>
              </w:rPr>
              <w:t>mil. EUR</w:t>
            </w:r>
            <w:r w:rsidR="007815D8" w:rsidRPr="00CA1D13">
              <w:rPr>
                <w:rFonts w:cstheme="minorHAnsi"/>
                <w:color w:val="auto"/>
                <w:sz w:val="20"/>
                <w:szCs w:val="20"/>
              </w:rPr>
              <w:t xml:space="preserve"> běžely v roce 2022</w:t>
            </w:r>
            <w:r w:rsidRPr="00CA1D13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r w:rsidR="00FE40A3" w:rsidRPr="00CA1D13">
              <w:rPr>
                <w:rFonts w:cstheme="minorHAnsi"/>
                <w:color w:val="auto"/>
                <w:sz w:val="20"/>
                <w:szCs w:val="20"/>
              </w:rPr>
              <w:t>čtyři</w:t>
            </w:r>
            <w:r w:rsidRPr="00CA1D13">
              <w:rPr>
                <w:rFonts w:cstheme="minorHAnsi"/>
                <w:color w:val="auto"/>
                <w:sz w:val="20"/>
                <w:szCs w:val="20"/>
              </w:rPr>
              <w:t xml:space="preserve"> projekty v celkovém objemu 17,3 mil. EUR. </w:t>
            </w:r>
            <w:r w:rsidR="007815D8" w:rsidRPr="00CA1D13">
              <w:rPr>
                <w:rFonts w:cstheme="minorHAnsi"/>
                <w:color w:val="auto"/>
                <w:sz w:val="20"/>
                <w:szCs w:val="20"/>
              </w:rPr>
              <w:t xml:space="preserve">Národní pedagogický institut realizoval projekt </w:t>
            </w:r>
            <w:r w:rsidR="000C7F89" w:rsidRPr="00CA1D13">
              <w:rPr>
                <w:rFonts w:cstheme="minorHAnsi"/>
                <w:color w:val="auto"/>
                <w:sz w:val="20"/>
                <w:szCs w:val="20"/>
              </w:rPr>
              <w:t xml:space="preserve">„UpSkilling CZ“ a dokončil projekt </w:t>
            </w:r>
            <w:r w:rsidR="007815D8" w:rsidRPr="00CA1D13">
              <w:rPr>
                <w:rFonts w:cstheme="minorHAnsi"/>
                <w:color w:val="auto"/>
                <w:sz w:val="20"/>
                <w:szCs w:val="20"/>
              </w:rPr>
              <w:t>„Mistrovská zkouška – systém“</w:t>
            </w:r>
            <w:r w:rsidR="000C7F89" w:rsidRPr="00CA1D13">
              <w:rPr>
                <w:rFonts w:cstheme="minorHAnsi"/>
                <w:color w:val="auto"/>
                <w:sz w:val="20"/>
                <w:szCs w:val="20"/>
              </w:rPr>
              <w:t xml:space="preserve">, v jehož rámci byl vytvořen návrh na rozpracování všech prvků potřebných k plošnému systémovému zavedení mistrovské zkoušky a nastavení k tomu všech potřebných procesů. </w:t>
            </w:r>
            <w:r w:rsidR="007815D8" w:rsidRPr="00CA1D13">
              <w:rPr>
                <w:rFonts w:cstheme="minorHAnsi"/>
                <w:color w:val="auto"/>
                <w:sz w:val="20"/>
                <w:szCs w:val="20"/>
              </w:rPr>
              <w:t>Projektová kancelář MPSV</w:t>
            </w:r>
            <w:r w:rsidR="000C7F89" w:rsidRPr="00CA1D13">
              <w:rPr>
                <w:rFonts w:cstheme="minorHAnsi"/>
                <w:color w:val="auto"/>
                <w:sz w:val="20"/>
                <w:szCs w:val="20"/>
              </w:rPr>
              <w:t xml:space="preserve"> zahájila realizaci</w:t>
            </w:r>
            <w:r w:rsidR="007815D8" w:rsidRPr="00CA1D13">
              <w:rPr>
                <w:rFonts w:cstheme="minorHAnsi"/>
                <w:color w:val="auto"/>
                <w:sz w:val="20"/>
                <w:szCs w:val="20"/>
              </w:rPr>
              <w:t xml:space="preserve"> projekt</w:t>
            </w:r>
            <w:r w:rsidR="000C7F89" w:rsidRPr="00CA1D13">
              <w:rPr>
                <w:rFonts w:cstheme="minorHAnsi"/>
                <w:color w:val="auto"/>
                <w:sz w:val="20"/>
                <w:szCs w:val="20"/>
              </w:rPr>
              <w:t>u</w:t>
            </w:r>
            <w:r w:rsidR="007815D8" w:rsidRPr="00CA1D13">
              <w:rPr>
                <w:rFonts w:cstheme="minorHAnsi"/>
                <w:color w:val="auto"/>
                <w:sz w:val="20"/>
                <w:szCs w:val="20"/>
              </w:rPr>
              <w:t xml:space="preserve"> „</w:t>
            </w:r>
            <w:r w:rsidRPr="00CA1D13">
              <w:rPr>
                <w:rFonts w:cstheme="minorHAnsi"/>
                <w:color w:val="auto"/>
                <w:sz w:val="20"/>
                <w:szCs w:val="20"/>
              </w:rPr>
              <w:t>DigiKompetence</w:t>
            </w:r>
            <w:r w:rsidR="007815D8" w:rsidRPr="00CA1D13">
              <w:rPr>
                <w:rFonts w:cstheme="minorHAnsi"/>
                <w:color w:val="auto"/>
                <w:sz w:val="20"/>
                <w:szCs w:val="20"/>
              </w:rPr>
              <w:t xml:space="preserve">“ </w:t>
            </w:r>
            <w:r w:rsidRPr="00CA1D13">
              <w:rPr>
                <w:rFonts w:cstheme="minorHAnsi"/>
                <w:color w:val="auto"/>
                <w:sz w:val="20"/>
                <w:szCs w:val="20"/>
              </w:rPr>
              <w:t xml:space="preserve">zaměřujícího </w:t>
            </w:r>
            <w:r w:rsidRPr="00CA1D13">
              <w:rPr>
                <w:rFonts w:cstheme="minorHAnsi"/>
                <w:color w:val="auto"/>
                <w:sz w:val="20"/>
                <w:szCs w:val="20"/>
              </w:rPr>
              <w:lastRenderedPageBreak/>
              <w:t>se</w:t>
            </w:r>
            <w:r w:rsidR="00F80DC2" w:rsidRPr="00CA1D13">
              <w:rPr>
                <w:rFonts w:cstheme="minorHAnsi"/>
                <w:color w:val="auto"/>
                <w:sz w:val="20"/>
                <w:szCs w:val="20"/>
              </w:rPr>
              <w:t> </w:t>
            </w:r>
            <w:r w:rsidRPr="00CA1D13">
              <w:rPr>
                <w:rFonts w:cstheme="minorHAnsi"/>
                <w:color w:val="auto"/>
                <w:sz w:val="20"/>
                <w:szCs w:val="20"/>
              </w:rPr>
              <w:t xml:space="preserve">na vytvoření prvků systémové podpory dalšího vzdělávání pro výkon práce z domova za účelem podpory aktérů trhu práce při zavádění institutu práce z domova. </w:t>
            </w:r>
            <w:r w:rsidR="000C7F89" w:rsidRPr="00CA1D13">
              <w:rPr>
                <w:rFonts w:cstheme="minorHAnsi"/>
                <w:color w:val="auto"/>
                <w:sz w:val="20"/>
                <w:szCs w:val="20"/>
              </w:rPr>
              <w:t>Byl dokončen p</w:t>
            </w:r>
            <w:r w:rsidRPr="00CA1D13">
              <w:rPr>
                <w:rFonts w:cstheme="minorHAnsi"/>
                <w:color w:val="auto"/>
                <w:sz w:val="20"/>
                <w:szCs w:val="20"/>
              </w:rPr>
              <w:t>rojekt KVASAR</w:t>
            </w:r>
            <w:r w:rsidR="000C7F89" w:rsidRPr="00CA1D13">
              <w:rPr>
                <w:rFonts w:cstheme="minorHAnsi"/>
                <w:color w:val="auto"/>
                <w:sz w:val="20"/>
                <w:szCs w:val="20"/>
              </w:rPr>
              <w:t>, který</w:t>
            </w:r>
            <w:r w:rsidRPr="00CA1D13">
              <w:rPr>
                <w:rFonts w:cstheme="minorHAnsi"/>
                <w:color w:val="auto"/>
                <w:sz w:val="20"/>
                <w:szCs w:val="20"/>
              </w:rPr>
              <w:t xml:space="preserve"> vytvořil kvalitativní změny v systému rekvalifikací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 xml:space="preserve">, formulovaných Strategií politiky zaměstnanosti ČR do roku 2020. </w:t>
            </w:r>
            <w:r w:rsidR="000C7F89" w:rsidRPr="002F7810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Ve spolupráci se zaměstnavateli a</w:t>
            </w:r>
            <w:r w:rsidR="00F80DC2" w:rsidRPr="002F7810">
              <w:rPr>
                <w:rFonts w:cstheme="minorHAnsi"/>
                <w:color w:val="auto"/>
                <w:sz w:val="20"/>
                <w:szCs w:val="20"/>
              </w:rPr>
              <w:t> 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sdruženími zaměstnavatelů došlo k pilotnímu odzkoušení systému modularizovaných rekvalifikačních programů po celé ČR. U projektu Mistrovská zkouška – systém byl</w:t>
            </w:r>
            <w:r w:rsidR="000C7F89" w:rsidRPr="002F7810">
              <w:rPr>
                <w:rFonts w:cstheme="minorHAnsi"/>
                <w:color w:val="auto"/>
                <w:sz w:val="20"/>
                <w:szCs w:val="20"/>
              </w:rPr>
              <w:t> </w:t>
            </w:r>
            <w:r w:rsidRPr="002F7810">
              <w:rPr>
                <w:rFonts w:cstheme="minorHAnsi"/>
                <w:color w:val="auto"/>
                <w:sz w:val="20"/>
                <w:szCs w:val="20"/>
              </w:rPr>
              <w:t>vytvořen návrh a rozpracování všech prvků potřebných k plošnému systémovému zavedení mistrovské zkoušky a nastavení k tomu všech potřebných procesů.</w:t>
            </w:r>
          </w:p>
          <w:p w14:paraId="6F505551" w14:textId="77777777" w:rsidR="00F73D7E" w:rsidRPr="002F7810" w:rsidRDefault="00F73D7E" w:rsidP="00105CB2">
            <w:pPr>
              <w:spacing w:after="120"/>
              <w:ind w:left="136" w:right="238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2F7810">
              <w:rPr>
                <w:rFonts w:cstheme="minorHAnsi"/>
                <w:b/>
                <w:color w:val="auto"/>
                <w:sz w:val="20"/>
                <w:szCs w:val="20"/>
              </w:rPr>
              <w:t>IP1.5 „Udržitelná integrace mladých lidí (do 30 let) mimo zaměstnání, vzdělávání nebo odbornou přípravu na trh práce, pro projekty financované Iniciativou na podporu zaměstnanosti mládeže“ (YEI)</w:t>
            </w:r>
          </w:p>
          <w:p w14:paraId="001AA9F5" w14:textId="77777777" w:rsidR="000F365E" w:rsidRPr="002F7810" w:rsidRDefault="00F73D7E" w:rsidP="000F365E">
            <w:pPr>
              <w:ind w:left="136" w:right="233"/>
              <w:rPr>
                <w:rFonts w:cstheme="minorHAnsi"/>
                <w:bCs/>
                <w:color w:val="auto"/>
                <w:sz w:val="20"/>
                <w:szCs w:val="20"/>
              </w:rPr>
            </w:pPr>
            <w:r w:rsidRPr="002F7810">
              <w:rPr>
                <w:rFonts w:cstheme="minorHAnsi"/>
                <w:bCs/>
                <w:color w:val="auto"/>
                <w:sz w:val="20"/>
                <w:szCs w:val="20"/>
              </w:rPr>
              <w:t>V rámci investiční priority 1.5 (IP1.5) byly dosud vyhlášeny čtyři výzvy</w:t>
            </w:r>
            <w:r w:rsidR="000F365E" w:rsidRPr="002F7810">
              <w:rPr>
                <w:rFonts w:cstheme="minorHAnsi"/>
                <w:bCs/>
                <w:color w:val="auto"/>
                <w:sz w:val="20"/>
                <w:szCs w:val="20"/>
              </w:rPr>
              <w:t>.</w:t>
            </w:r>
          </w:p>
          <w:p w14:paraId="55403221" w14:textId="4EEA7C1E" w:rsidR="000F365E" w:rsidRPr="00CA1D13" w:rsidRDefault="00F73D7E" w:rsidP="000F365E">
            <w:pPr>
              <w:ind w:left="136" w:right="233"/>
              <w:rPr>
                <w:rFonts w:cstheme="minorHAnsi"/>
                <w:bCs/>
                <w:color w:val="auto"/>
                <w:sz w:val="20"/>
                <w:szCs w:val="20"/>
              </w:rPr>
            </w:pPr>
            <w:r w:rsidRPr="002F7810">
              <w:rPr>
                <w:rFonts w:cstheme="minorHAnsi"/>
                <w:bCs/>
                <w:color w:val="auto"/>
                <w:sz w:val="20"/>
                <w:szCs w:val="20"/>
              </w:rPr>
              <w:t xml:space="preserve"> </w:t>
            </w:r>
            <w:r w:rsidRPr="00CA1D13">
              <w:rPr>
                <w:rFonts w:cstheme="minorHAnsi"/>
                <w:bCs/>
                <w:color w:val="auto"/>
                <w:sz w:val="20"/>
                <w:szCs w:val="20"/>
              </w:rPr>
              <w:t>Ve výzvě č. 3 „Iniciativa na podporu zaměstnanosti mládeže pro region NUTS Severozápad v Ústeckém a</w:t>
            </w:r>
            <w:r w:rsidR="000C7F89" w:rsidRPr="00CA1D13">
              <w:rPr>
                <w:rFonts w:cstheme="minorHAnsi"/>
                <w:bCs/>
                <w:color w:val="auto"/>
                <w:sz w:val="20"/>
                <w:szCs w:val="20"/>
              </w:rPr>
              <w:t> </w:t>
            </w:r>
            <w:r w:rsidRPr="00CA1D13">
              <w:rPr>
                <w:rFonts w:cstheme="minorHAnsi"/>
                <w:bCs/>
                <w:color w:val="auto"/>
                <w:sz w:val="20"/>
                <w:szCs w:val="20"/>
              </w:rPr>
              <w:t xml:space="preserve">Karlovarském kraji“ byly krajskými pobočkami ÚP ČR v Ústí nad Labem a v Karlových Varech realizovány </w:t>
            </w:r>
            <w:r w:rsidR="000C7F89" w:rsidRPr="00CA1D13">
              <w:rPr>
                <w:rFonts w:cstheme="minorHAnsi"/>
                <w:bCs/>
                <w:color w:val="auto"/>
                <w:sz w:val="20"/>
                <w:szCs w:val="20"/>
              </w:rPr>
              <w:t>dva</w:t>
            </w:r>
            <w:r w:rsidRPr="00CA1D13">
              <w:rPr>
                <w:rFonts w:cstheme="minorHAnsi"/>
                <w:bCs/>
                <w:color w:val="auto"/>
                <w:sz w:val="20"/>
                <w:szCs w:val="20"/>
              </w:rPr>
              <w:t xml:space="preserve"> projekty celkem za 22,1 mil. EUR. Realizace těchto projektů byla ukončena </w:t>
            </w:r>
            <w:r w:rsidR="000C7F89" w:rsidRPr="00CA1D13">
              <w:rPr>
                <w:rFonts w:cstheme="minorHAnsi"/>
                <w:bCs/>
                <w:color w:val="auto"/>
                <w:sz w:val="20"/>
                <w:szCs w:val="20"/>
              </w:rPr>
              <w:t xml:space="preserve">již </w:t>
            </w:r>
            <w:r w:rsidRPr="00CA1D13">
              <w:rPr>
                <w:rFonts w:cstheme="minorHAnsi"/>
                <w:bCs/>
                <w:color w:val="auto"/>
                <w:sz w:val="20"/>
                <w:szCs w:val="20"/>
              </w:rPr>
              <w:t xml:space="preserve">v roce 2019 a bylo podpořeno 4 060 osob. </w:t>
            </w:r>
          </w:p>
          <w:p w14:paraId="383BCA7F" w14:textId="71ADEE33" w:rsidR="000F365E" w:rsidRPr="00CA1D13" w:rsidRDefault="00F73D7E" w:rsidP="000F365E">
            <w:pPr>
              <w:ind w:left="136" w:right="233"/>
              <w:rPr>
                <w:rFonts w:cstheme="minorHAnsi"/>
                <w:bCs/>
                <w:color w:val="auto"/>
                <w:sz w:val="20"/>
                <w:szCs w:val="20"/>
              </w:rPr>
            </w:pPr>
            <w:r w:rsidRPr="00CA1D13">
              <w:rPr>
                <w:rFonts w:cstheme="minorHAnsi"/>
                <w:bCs/>
                <w:color w:val="auto"/>
                <w:sz w:val="20"/>
                <w:szCs w:val="20"/>
              </w:rPr>
              <w:t xml:space="preserve">V soutěžní výzvě č. 116 „Iniciativa na podporu zaměstnanosti mládeže pro region NUTS II Severozápad – kraje“ byly realizovány dva projekty Ústeckého kraje a jeden projekt Karlovarského kraje celkem za 5,8 mil. EUR. Projekty ukončily svou fyzickou realizaci k 31. 12. 2018 a podpořeno bylo 1 388 osob. </w:t>
            </w:r>
          </w:p>
          <w:p w14:paraId="326E9D6D" w14:textId="19A1A86C" w:rsidR="000F365E" w:rsidRPr="00CA1D13" w:rsidRDefault="00F73D7E" w:rsidP="000F365E">
            <w:pPr>
              <w:ind w:left="136" w:right="233"/>
              <w:rPr>
                <w:rFonts w:cstheme="minorHAnsi"/>
                <w:bCs/>
                <w:color w:val="auto"/>
                <w:sz w:val="20"/>
                <w:szCs w:val="20"/>
              </w:rPr>
            </w:pPr>
            <w:r w:rsidRPr="00CA1D13">
              <w:rPr>
                <w:rFonts w:cstheme="minorHAnsi"/>
                <w:bCs/>
                <w:color w:val="auto"/>
                <w:sz w:val="20"/>
                <w:szCs w:val="20"/>
              </w:rPr>
              <w:t>V soutěžní výzvě č. 91 „Iniciativa na podporu zaměstnanosti mládeže pro regiony NUTS II Severozápad a NUTS II Moravskoslezsko – kraje“ byly realizovány v roce 2019 dva projekty – pro Ústecký kraj a</w:t>
            </w:r>
            <w:r w:rsidR="000C7F89" w:rsidRPr="00CA1D13">
              <w:rPr>
                <w:rFonts w:cstheme="minorHAnsi"/>
                <w:bCs/>
                <w:color w:val="auto"/>
                <w:sz w:val="20"/>
                <w:szCs w:val="20"/>
              </w:rPr>
              <w:t> </w:t>
            </w:r>
            <w:r w:rsidRPr="00CA1D13">
              <w:rPr>
                <w:rFonts w:cstheme="minorHAnsi"/>
                <w:bCs/>
                <w:color w:val="auto"/>
                <w:sz w:val="20"/>
                <w:szCs w:val="20"/>
              </w:rPr>
              <w:t xml:space="preserve">Moravskoslezský kraj v součtu za 810,5 tis. EUR. Do projektů byly zařazovány přednostně osoby, které nebyly evidovanými uchazeči o zaměstnání na ÚP ČR, ale splňovaly charakteristiky cílové skupiny IP 1.5. Tyto projekty byly ukončeny k 31. 10. 2019 a podpořeno bylo celkem 263 osob. </w:t>
            </w:r>
          </w:p>
          <w:p w14:paraId="1A4F1098" w14:textId="3404212D" w:rsidR="005F1A28" w:rsidRPr="002F7810" w:rsidRDefault="00F73D7E" w:rsidP="000F365E">
            <w:pPr>
              <w:ind w:left="136" w:right="233"/>
              <w:rPr>
                <w:rFonts w:eastAsia="Arial" w:cstheme="minorHAnsi"/>
                <w:sz w:val="20"/>
                <w:szCs w:val="20"/>
              </w:rPr>
            </w:pPr>
            <w:r w:rsidRPr="00CA1D13">
              <w:rPr>
                <w:rFonts w:cstheme="minorHAnsi"/>
                <w:bCs/>
                <w:color w:val="auto"/>
                <w:sz w:val="20"/>
                <w:szCs w:val="20"/>
              </w:rPr>
              <w:t>Poslední výzvou je výzva č.</w:t>
            </w:r>
            <w:r w:rsidR="000C7F89" w:rsidRPr="00CA1D13">
              <w:rPr>
                <w:rFonts w:cstheme="minorHAnsi"/>
                <w:bCs/>
                <w:color w:val="auto"/>
                <w:sz w:val="20"/>
                <w:szCs w:val="20"/>
              </w:rPr>
              <w:t> </w:t>
            </w:r>
            <w:r w:rsidRPr="00CA1D13">
              <w:rPr>
                <w:rFonts w:cstheme="minorHAnsi"/>
                <w:bCs/>
                <w:color w:val="auto"/>
                <w:sz w:val="20"/>
                <w:szCs w:val="20"/>
              </w:rPr>
              <w:t xml:space="preserve">136 „Iniciativa na podporu zaměstnanosti mládeže pro region NUTS II Severozápad a NUTS II Moravskoslezsko – ÚP ČR“. Ve výzvě č. 136 </w:t>
            </w:r>
            <w:r w:rsidRPr="00CA1D13">
              <w:rPr>
                <w:rFonts w:cstheme="minorHAnsi"/>
                <w:bCs/>
                <w:sz w:val="20"/>
                <w:szCs w:val="20"/>
              </w:rPr>
              <w:t>ukončil</w:t>
            </w:r>
            <w:r w:rsidRPr="00CA1D13">
              <w:rPr>
                <w:rFonts w:cstheme="minorHAnsi"/>
                <w:bCs/>
                <w:color w:val="auto"/>
                <w:sz w:val="20"/>
                <w:szCs w:val="20"/>
              </w:rPr>
              <w:t xml:space="preserve"> realizaci </w:t>
            </w:r>
            <w:r w:rsidRPr="00CA1D13">
              <w:rPr>
                <w:rFonts w:cstheme="minorHAnsi"/>
                <w:bCs/>
                <w:sz w:val="20"/>
                <w:szCs w:val="20"/>
              </w:rPr>
              <w:t xml:space="preserve">k 31. 10. 2022 </w:t>
            </w:r>
            <w:r w:rsidRPr="00CA1D13">
              <w:rPr>
                <w:rFonts w:cstheme="minorHAnsi"/>
                <w:color w:val="auto"/>
                <w:sz w:val="20"/>
                <w:szCs w:val="20"/>
              </w:rPr>
              <w:t>jediný projekt Generálního ředitelství ÚP ČR za 1,</w:t>
            </w:r>
            <w:r w:rsidR="00CA1D13" w:rsidRPr="00CA1D13">
              <w:rPr>
                <w:rFonts w:cstheme="minorHAnsi"/>
                <w:color w:val="auto"/>
                <w:sz w:val="20"/>
                <w:szCs w:val="20"/>
              </w:rPr>
              <w:t xml:space="preserve">7 </w:t>
            </w:r>
            <w:r w:rsidRPr="00CA1D13">
              <w:rPr>
                <w:rFonts w:cstheme="minorHAnsi"/>
                <w:color w:val="auto"/>
                <w:sz w:val="20"/>
                <w:szCs w:val="20"/>
              </w:rPr>
              <w:t>mil. EUR s názvem „Iniciativa na podporu mladých uchazečů o zaměstnání“. V rámci tohoto projektu bylo podpořeno celkem 422 osob. Alokace IP 1.5 ve výši 29,6 mil. EUR byla vyčerpána na</w:t>
            </w:r>
            <w:r w:rsidR="000C7F89" w:rsidRPr="00CA1D13">
              <w:rPr>
                <w:rFonts w:cstheme="minorHAnsi"/>
                <w:color w:val="auto"/>
                <w:sz w:val="20"/>
                <w:szCs w:val="20"/>
              </w:rPr>
              <w:t> </w:t>
            </w:r>
            <w:r w:rsidRPr="00CA1D13">
              <w:rPr>
                <w:rFonts w:cstheme="minorHAnsi"/>
                <w:color w:val="auto"/>
                <w:sz w:val="20"/>
                <w:szCs w:val="20"/>
              </w:rPr>
              <w:t>100</w:t>
            </w:r>
            <w:r w:rsidR="000C7F89" w:rsidRPr="00CA1D13">
              <w:rPr>
                <w:rFonts w:cstheme="minorHAnsi"/>
                <w:color w:val="auto"/>
                <w:sz w:val="20"/>
                <w:szCs w:val="20"/>
              </w:rPr>
              <w:t> </w:t>
            </w:r>
            <w:r w:rsidRPr="00CA1D13">
              <w:rPr>
                <w:rFonts w:cstheme="minorHAnsi"/>
                <w:color w:val="auto"/>
                <w:sz w:val="20"/>
                <w:szCs w:val="20"/>
              </w:rPr>
              <w:t>%, podpořeno bylo celkem 6 133 osob.</w:t>
            </w:r>
          </w:p>
        </w:tc>
      </w:tr>
      <w:tr w:rsidR="002A326C" w:rsidRPr="00096506" w14:paraId="1A4F10B3" w14:textId="77777777" w:rsidTr="00BA75D4">
        <w:trPr>
          <w:trHeight w:val="8863"/>
        </w:trPr>
        <w:tc>
          <w:tcPr>
            <w:tcW w:w="1378" w:type="dxa"/>
            <w:vAlign w:val="center"/>
          </w:tcPr>
          <w:p w14:paraId="1A4F109A" w14:textId="32DBA99B" w:rsidR="002A326C" w:rsidRPr="00096506" w:rsidRDefault="002A326C" w:rsidP="002A326C">
            <w:pPr>
              <w:ind w:left="181"/>
              <w:rPr>
                <w:rFonts w:ascii="Arial" w:hAnsi="Arial" w:cs="Arial"/>
                <w:sz w:val="20"/>
                <w:szCs w:val="20"/>
              </w:rPr>
            </w:pPr>
            <w:r w:rsidRPr="00096506">
              <w:rPr>
                <w:rFonts w:ascii="Arial" w:hAnsi="Arial" w:cs="Arial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478" w:type="dxa"/>
            <w:vAlign w:val="center"/>
          </w:tcPr>
          <w:p w14:paraId="1A4F109B" w14:textId="77777777" w:rsidR="002A326C" w:rsidRPr="00096506" w:rsidRDefault="002A326C" w:rsidP="00AA673F">
            <w:pPr>
              <w:ind w:left="79" w:right="10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96506">
              <w:rPr>
                <w:rFonts w:ascii="Arial" w:hAnsi="Arial" w:cs="Arial"/>
                <w:sz w:val="20"/>
                <w:szCs w:val="20"/>
              </w:rPr>
              <w:t>Sociální začleňování a boj s chudobou</w:t>
            </w:r>
          </w:p>
        </w:tc>
        <w:tc>
          <w:tcPr>
            <w:tcW w:w="10065" w:type="dxa"/>
            <w:vAlign w:val="center"/>
          </w:tcPr>
          <w:p w14:paraId="223CC50C" w14:textId="77777777" w:rsidR="00895703" w:rsidRPr="000F365E" w:rsidRDefault="004A29A6" w:rsidP="00105CB2">
            <w:pPr>
              <w:spacing w:after="120"/>
              <w:ind w:right="238"/>
              <w:rPr>
                <w:rFonts w:eastAsia="Arial" w:cstheme="minorHAnsi"/>
                <w:b/>
                <w:sz w:val="20"/>
                <w:szCs w:val="20"/>
              </w:rPr>
            </w:pPr>
            <w:r w:rsidRPr="000F365E">
              <w:rPr>
                <w:rFonts w:eastAsia="Arial" w:cstheme="minorHAnsi"/>
                <w:b/>
                <w:sz w:val="20"/>
                <w:szCs w:val="20"/>
              </w:rPr>
              <w:t xml:space="preserve">Prioritní osa 2 „Sociální začleňování a boj s chudobou“ </w:t>
            </w:r>
            <w:r w:rsidRPr="000F365E">
              <w:rPr>
                <w:rFonts w:eastAsia="Arial" w:cstheme="minorHAnsi"/>
                <w:sz w:val="20"/>
                <w:szCs w:val="20"/>
              </w:rPr>
              <w:t xml:space="preserve">(PO2) je prováděna prostřednictvím tří investičních priorit (IP), z nichž nejvyšší objem finančních prostředků alokovaných ve výzvách a nejvyšší počet předložených projektů představuje IP2.1. Objem prostředků alokovaných na PO2 činí celkem </w:t>
            </w:r>
            <w:r w:rsidR="002703A6" w:rsidRPr="000F365E">
              <w:rPr>
                <w:rFonts w:eastAsia="Arial" w:cstheme="minorHAnsi"/>
                <w:sz w:val="20"/>
                <w:szCs w:val="20"/>
              </w:rPr>
              <w:t>740</w:t>
            </w:r>
            <w:r w:rsidRPr="000F365E">
              <w:rPr>
                <w:rFonts w:eastAsia="Arial" w:cstheme="minorHAnsi"/>
                <w:sz w:val="20"/>
                <w:szCs w:val="20"/>
              </w:rPr>
              <w:t xml:space="preserve"> mil. EUR, což představuje 2</w:t>
            </w:r>
            <w:r w:rsidR="0072769B" w:rsidRPr="000F365E">
              <w:rPr>
                <w:rFonts w:eastAsia="Arial" w:cstheme="minorHAnsi"/>
                <w:sz w:val="20"/>
                <w:szCs w:val="20"/>
              </w:rPr>
              <w:t>6</w:t>
            </w:r>
            <w:r w:rsidRPr="000F365E">
              <w:rPr>
                <w:rFonts w:eastAsia="Arial" w:cstheme="minorHAnsi"/>
                <w:sz w:val="20"/>
                <w:szCs w:val="20"/>
              </w:rPr>
              <w:t> % z celkového objemu finančních prostředků určených na OPZ.</w:t>
            </w:r>
            <w:r w:rsidRPr="000F365E">
              <w:rPr>
                <w:rFonts w:eastAsia="Arial" w:cstheme="minorHAnsi"/>
                <w:b/>
                <w:sz w:val="20"/>
                <w:szCs w:val="20"/>
              </w:rPr>
              <w:t xml:space="preserve"> </w:t>
            </w:r>
          </w:p>
          <w:p w14:paraId="4ADF9269" w14:textId="77777777" w:rsidR="003C30CD" w:rsidRPr="000F365E" w:rsidRDefault="003C30CD" w:rsidP="00105CB2">
            <w:pPr>
              <w:keepNext/>
              <w:keepLines/>
              <w:spacing w:after="120"/>
              <w:ind w:left="136" w:right="238"/>
              <w:rPr>
                <w:rFonts w:cstheme="minorHAnsi"/>
                <w:b/>
                <w:sz w:val="20"/>
                <w:szCs w:val="20"/>
              </w:rPr>
            </w:pPr>
            <w:r w:rsidRPr="000F365E">
              <w:rPr>
                <w:rFonts w:cstheme="minorHAnsi"/>
                <w:b/>
                <w:sz w:val="20"/>
                <w:szCs w:val="20"/>
              </w:rPr>
              <w:t>IP2.1</w:t>
            </w:r>
            <w:r w:rsidRPr="000F365E">
              <w:rPr>
                <w:rFonts w:cstheme="minorHAnsi"/>
                <w:sz w:val="20"/>
                <w:szCs w:val="20"/>
              </w:rPr>
              <w:t xml:space="preserve"> „</w:t>
            </w:r>
            <w:r w:rsidRPr="000F365E">
              <w:rPr>
                <w:rFonts w:cstheme="minorHAnsi"/>
                <w:b/>
                <w:sz w:val="20"/>
                <w:szCs w:val="20"/>
              </w:rPr>
              <w:t>Aktivní začleňování, zejména za účelem zvyšování zaměstnatelnosti“</w:t>
            </w:r>
          </w:p>
          <w:p w14:paraId="7E0090FF" w14:textId="77777777" w:rsidR="003C30CD" w:rsidRPr="000F365E" w:rsidRDefault="003C30CD" w:rsidP="00105CB2">
            <w:pPr>
              <w:keepNext/>
              <w:keepLines/>
              <w:spacing w:after="120"/>
              <w:ind w:left="136" w:right="238"/>
              <w:rPr>
                <w:rFonts w:cstheme="minorHAnsi"/>
                <w:sz w:val="20"/>
                <w:szCs w:val="20"/>
              </w:rPr>
            </w:pPr>
            <w:r w:rsidRPr="000F365E">
              <w:rPr>
                <w:rFonts w:cstheme="minorHAnsi"/>
                <w:sz w:val="20"/>
                <w:szCs w:val="20"/>
              </w:rPr>
              <w:t xml:space="preserve">Naplnění tematického cíle 9i (Aktivní začleňování, včetně začleňování s ohledem na podporu rovných příležitostí a aktivní účast a zlepšení zaměstnatelnosti) pro IP2.1 probíhá prostřednictvím projektů realizovaných v příslušných výzvách. </w:t>
            </w:r>
          </w:p>
          <w:p w14:paraId="76C77215" w14:textId="480E4046" w:rsidR="003C30CD" w:rsidRPr="000F365E" w:rsidRDefault="003C30CD" w:rsidP="00105CB2">
            <w:pPr>
              <w:spacing w:after="120"/>
              <w:ind w:left="136" w:right="238"/>
              <w:rPr>
                <w:rFonts w:eastAsia="Arial" w:cstheme="minorHAnsi"/>
                <w:bCs/>
                <w:sz w:val="20"/>
                <w:szCs w:val="20"/>
              </w:rPr>
            </w:pPr>
            <w:r w:rsidRPr="000F365E">
              <w:rPr>
                <w:rFonts w:eastAsia="Arial" w:cstheme="minorHAnsi"/>
                <w:bCs/>
                <w:sz w:val="20"/>
                <w:szCs w:val="20"/>
              </w:rPr>
              <w:t xml:space="preserve">V IP 2.1 a 2.2 v roce 2022 již nebyly vyhlašovány </w:t>
            </w:r>
            <w:r w:rsidR="000148A1" w:rsidRPr="000F365E">
              <w:rPr>
                <w:rFonts w:eastAsia="Arial" w:cstheme="minorHAnsi"/>
                <w:bCs/>
                <w:sz w:val="20"/>
                <w:szCs w:val="20"/>
              </w:rPr>
              <w:t xml:space="preserve">nové </w:t>
            </w:r>
            <w:r w:rsidRPr="000F365E">
              <w:rPr>
                <w:rFonts w:eastAsia="Arial" w:cstheme="minorHAnsi"/>
                <w:bCs/>
                <w:sz w:val="20"/>
                <w:szCs w:val="20"/>
              </w:rPr>
              <w:t>výzvy. K vyhlášení posledních výzev došlo v roce 2020. V roce 2022 pokračovala či byla ukončována realizace a administrace projektů podpořených v předchozích letech.</w:t>
            </w:r>
          </w:p>
          <w:p w14:paraId="624852C9" w14:textId="3DDA8CFB" w:rsidR="003C30CD" w:rsidRPr="000F365E" w:rsidRDefault="003C30CD" w:rsidP="00105CB2">
            <w:pPr>
              <w:spacing w:after="120"/>
              <w:ind w:left="136" w:right="238"/>
              <w:rPr>
                <w:rFonts w:eastAsia="Arial" w:cstheme="minorHAnsi"/>
                <w:bCs/>
                <w:sz w:val="20"/>
                <w:szCs w:val="20"/>
              </w:rPr>
            </w:pPr>
            <w:r w:rsidRPr="000F365E">
              <w:rPr>
                <w:rFonts w:eastAsia="Arial" w:cstheme="minorHAnsi"/>
                <w:bCs/>
                <w:sz w:val="20"/>
                <w:szCs w:val="20"/>
              </w:rPr>
              <w:t>V IP 2.1 bylo od začátku programu vyhlášeno celkem 19 výzev, do kterých bylo přijato 2 366 žádostí o</w:t>
            </w:r>
            <w:r w:rsidR="00F80DC2" w:rsidRPr="000F365E">
              <w:rPr>
                <w:rFonts w:eastAsia="Arial" w:cstheme="minorHAnsi"/>
                <w:bCs/>
                <w:sz w:val="20"/>
                <w:szCs w:val="20"/>
              </w:rPr>
              <w:t> </w:t>
            </w:r>
            <w:r w:rsidRPr="000F365E">
              <w:rPr>
                <w:rFonts w:eastAsia="Arial" w:cstheme="minorHAnsi"/>
                <w:bCs/>
                <w:sz w:val="20"/>
                <w:szCs w:val="20"/>
              </w:rPr>
              <w:t>podporu, podpořeno bylo celkem 819 žádostí (projekty s právním aktem) ve výši 52</w:t>
            </w:r>
            <w:r w:rsidR="000F365E" w:rsidRPr="000F365E">
              <w:rPr>
                <w:rFonts w:eastAsia="Arial" w:cstheme="minorHAnsi"/>
                <w:bCs/>
                <w:sz w:val="20"/>
                <w:szCs w:val="20"/>
              </w:rPr>
              <w:t>8</w:t>
            </w:r>
            <w:r w:rsidRPr="000F365E">
              <w:rPr>
                <w:rFonts w:eastAsia="Arial" w:cstheme="minorHAnsi"/>
                <w:bCs/>
                <w:sz w:val="20"/>
                <w:szCs w:val="20"/>
              </w:rPr>
              <w:t xml:space="preserve"> mil. EUR, přičemž vyúčtované výdaje ke konci roku 2022 činily 88</w:t>
            </w:r>
            <w:r w:rsidR="000148A1" w:rsidRPr="000F365E">
              <w:rPr>
                <w:rFonts w:eastAsia="Arial" w:cstheme="minorHAnsi"/>
                <w:bCs/>
                <w:sz w:val="20"/>
                <w:szCs w:val="20"/>
              </w:rPr>
              <w:t xml:space="preserve"> </w:t>
            </w:r>
            <w:r w:rsidRPr="000F365E">
              <w:rPr>
                <w:rFonts w:eastAsia="Arial" w:cstheme="minorHAnsi"/>
                <w:bCs/>
                <w:sz w:val="20"/>
                <w:szCs w:val="20"/>
              </w:rPr>
              <w:t>%</w:t>
            </w:r>
            <w:r w:rsidR="000148A1" w:rsidRPr="000F365E">
              <w:rPr>
                <w:rFonts w:eastAsia="Arial" w:cstheme="minorHAnsi"/>
                <w:bCs/>
                <w:sz w:val="20"/>
                <w:szCs w:val="20"/>
              </w:rPr>
              <w:t xml:space="preserve"> alokace</w:t>
            </w:r>
            <w:r w:rsidRPr="000F365E">
              <w:rPr>
                <w:rFonts w:eastAsia="Arial" w:cstheme="minorHAnsi"/>
                <w:bCs/>
                <w:sz w:val="20"/>
                <w:szCs w:val="20"/>
              </w:rPr>
              <w:t>.</w:t>
            </w:r>
          </w:p>
          <w:p w14:paraId="0B9CC14A" w14:textId="77777777" w:rsidR="003C30CD" w:rsidRPr="000F365E" w:rsidRDefault="003C30CD" w:rsidP="00105CB2">
            <w:pPr>
              <w:spacing w:after="120"/>
              <w:ind w:left="136" w:right="238"/>
              <w:rPr>
                <w:rFonts w:cstheme="minorHAnsi"/>
                <w:b/>
                <w:sz w:val="20"/>
                <w:szCs w:val="20"/>
              </w:rPr>
            </w:pPr>
            <w:r w:rsidRPr="000F365E">
              <w:rPr>
                <w:rFonts w:cstheme="minorHAnsi"/>
                <w:b/>
                <w:sz w:val="20"/>
                <w:szCs w:val="20"/>
              </w:rPr>
              <w:t>IP2.2</w:t>
            </w:r>
            <w:r w:rsidRPr="000F365E">
              <w:rPr>
                <w:rFonts w:cstheme="minorHAnsi"/>
                <w:sz w:val="20"/>
                <w:szCs w:val="20"/>
              </w:rPr>
              <w:t xml:space="preserve"> „</w:t>
            </w:r>
            <w:r w:rsidRPr="000F365E">
              <w:rPr>
                <w:rFonts w:cstheme="minorHAnsi"/>
                <w:b/>
                <w:sz w:val="20"/>
                <w:szCs w:val="20"/>
              </w:rPr>
              <w:t>Zlepšování přístupu k dostupným, udržitelným a vysoce kvalitním službám, včetně zdravotnictví a sociálních služeb obecného zájmu“</w:t>
            </w:r>
          </w:p>
          <w:p w14:paraId="17AFE650" w14:textId="77777777" w:rsidR="003C30CD" w:rsidRPr="000F365E" w:rsidRDefault="003C30CD" w:rsidP="00105CB2">
            <w:pPr>
              <w:spacing w:after="120"/>
              <w:ind w:left="136" w:right="238"/>
              <w:rPr>
                <w:rFonts w:cstheme="minorHAnsi"/>
                <w:sz w:val="20"/>
                <w:szCs w:val="20"/>
              </w:rPr>
            </w:pPr>
            <w:r w:rsidRPr="000F365E">
              <w:rPr>
                <w:rFonts w:cstheme="minorHAnsi"/>
                <w:sz w:val="20"/>
                <w:szCs w:val="20"/>
              </w:rPr>
              <w:t xml:space="preserve">Naplnění tematického cíle 9iv (Zlepšování přístupu k dostupným, udržitelným a vysoce kvalitním službám, včetně zdravotnictví a sociálních služeb obecného zájmu) pro IP 2.2 probíhá prostřednictvím projektů realizovaných v příslušných výzvách. </w:t>
            </w:r>
          </w:p>
          <w:p w14:paraId="2E8A55A4" w14:textId="5568DCBA" w:rsidR="003C30CD" w:rsidRPr="000F365E" w:rsidRDefault="003C30CD" w:rsidP="00105CB2">
            <w:pPr>
              <w:spacing w:after="120"/>
              <w:ind w:left="136" w:right="238"/>
              <w:rPr>
                <w:rFonts w:eastAsia="Arial" w:cstheme="minorHAnsi"/>
                <w:bCs/>
                <w:sz w:val="20"/>
                <w:szCs w:val="20"/>
              </w:rPr>
            </w:pPr>
            <w:r w:rsidRPr="000F365E">
              <w:rPr>
                <w:rFonts w:eastAsia="Arial" w:cstheme="minorHAnsi"/>
                <w:bCs/>
                <w:sz w:val="20"/>
                <w:szCs w:val="20"/>
              </w:rPr>
              <w:t>V IP 2.2 bylo od začátku programu vyhlášeno celkem 24 výzev, do kterých bylo přijato 1 145 žádostí o</w:t>
            </w:r>
            <w:r w:rsidR="000148A1" w:rsidRPr="000F365E">
              <w:rPr>
                <w:rFonts w:eastAsia="Arial" w:cstheme="minorHAnsi"/>
                <w:bCs/>
                <w:sz w:val="20"/>
                <w:szCs w:val="20"/>
              </w:rPr>
              <w:t> </w:t>
            </w:r>
            <w:r w:rsidRPr="000F365E">
              <w:rPr>
                <w:rFonts w:eastAsia="Arial" w:cstheme="minorHAnsi"/>
                <w:bCs/>
                <w:sz w:val="20"/>
                <w:szCs w:val="20"/>
              </w:rPr>
              <w:t>podporu, podpořeno bylo celkem 680 žádostí (projekty s právním aktem) ve výši 260 mil. EUR, přičemž vyúčtované výdaje ke konci roku 2022 činily 75 %</w:t>
            </w:r>
            <w:r w:rsidR="000148A1" w:rsidRPr="000F365E">
              <w:rPr>
                <w:rFonts w:eastAsia="Arial" w:cstheme="minorHAnsi"/>
                <w:bCs/>
                <w:sz w:val="20"/>
                <w:szCs w:val="20"/>
              </w:rPr>
              <w:t xml:space="preserve"> alokace</w:t>
            </w:r>
            <w:r w:rsidRPr="000F365E">
              <w:rPr>
                <w:rFonts w:eastAsia="Arial" w:cstheme="minorHAnsi"/>
                <w:bCs/>
                <w:sz w:val="20"/>
                <w:szCs w:val="20"/>
              </w:rPr>
              <w:t>.</w:t>
            </w:r>
          </w:p>
          <w:p w14:paraId="0C043D90" w14:textId="77777777" w:rsidR="003C30CD" w:rsidRPr="000F365E" w:rsidRDefault="003C30CD" w:rsidP="00105CB2">
            <w:pPr>
              <w:spacing w:after="120"/>
              <w:ind w:left="136" w:right="238"/>
              <w:rPr>
                <w:rFonts w:cstheme="minorHAnsi"/>
                <w:b/>
                <w:sz w:val="20"/>
                <w:szCs w:val="20"/>
              </w:rPr>
            </w:pPr>
            <w:r w:rsidRPr="000F365E">
              <w:rPr>
                <w:rFonts w:cstheme="minorHAnsi"/>
                <w:b/>
                <w:sz w:val="20"/>
                <w:szCs w:val="20"/>
              </w:rPr>
              <w:t>IP2.3</w:t>
            </w:r>
            <w:r w:rsidRPr="000F365E">
              <w:rPr>
                <w:rFonts w:cstheme="minorHAnsi"/>
                <w:sz w:val="20"/>
                <w:szCs w:val="20"/>
              </w:rPr>
              <w:t xml:space="preserve"> „</w:t>
            </w:r>
            <w:r w:rsidRPr="000F365E">
              <w:rPr>
                <w:rFonts w:cstheme="minorHAnsi"/>
                <w:b/>
                <w:sz w:val="20"/>
                <w:szCs w:val="20"/>
              </w:rPr>
              <w:t>Strategie pro místní rozvoj s vedoucí úlohou komunit“</w:t>
            </w:r>
          </w:p>
          <w:p w14:paraId="19BA6DA5" w14:textId="77777777" w:rsidR="003C30CD" w:rsidRPr="000F365E" w:rsidRDefault="003C30CD" w:rsidP="00105CB2">
            <w:pPr>
              <w:spacing w:after="120"/>
              <w:ind w:left="136" w:right="238"/>
              <w:rPr>
                <w:rFonts w:cstheme="minorHAnsi"/>
                <w:sz w:val="20"/>
                <w:szCs w:val="20"/>
              </w:rPr>
            </w:pPr>
            <w:r w:rsidRPr="000F365E">
              <w:rPr>
                <w:rFonts w:cstheme="minorHAnsi"/>
                <w:sz w:val="20"/>
                <w:szCs w:val="20"/>
              </w:rPr>
              <w:t xml:space="preserve">Naplnění tematického cíle 9vi (Strategie komunitně vedeného místního rozvoje – CLLD) pro IP2.3 probíhá prostřednictvím projektů realizovaných v příslušných výzvách místních akčních skupin (MAS). </w:t>
            </w:r>
          </w:p>
          <w:p w14:paraId="200D0C7D" w14:textId="3EF35DDF" w:rsidR="003C30CD" w:rsidRPr="000F365E" w:rsidRDefault="003C30CD" w:rsidP="00105CB2">
            <w:pPr>
              <w:spacing w:after="120"/>
              <w:ind w:left="136" w:right="238"/>
              <w:rPr>
                <w:rFonts w:eastAsia="Arial" w:cstheme="minorHAnsi"/>
                <w:bCs/>
                <w:sz w:val="20"/>
                <w:szCs w:val="20"/>
              </w:rPr>
            </w:pPr>
            <w:r w:rsidRPr="000F365E">
              <w:rPr>
                <w:rFonts w:eastAsia="Arial" w:cstheme="minorHAnsi"/>
                <w:bCs/>
                <w:sz w:val="20"/>
                <w:szCs w:val="20"/>
              </w:rPr>
              <w:t>V rámci IP 2.3 bylo celkem podpořeno 1292 projektů v celkovém objemu 79 mil. EUR, což představuje cca 119 % alokace určené na IP 2.3. Vyúčtované výdaje ke konci roku 2022 činily 77</w:t>
            </w:r>
            <w:r w:rsidR="000148A1" w:rsidRPr="000F365E">
              <w:rPr>
                <w:rFonts w:eastAsia="Arial" w:cstheme="minorHAnsi"/>
                <w:bCs/>
                <w:sz w:val="20"/>
                <w:szCs w:val="20"/>
              </w:rPr>
              <w:t xml:space="preserve"> </w:t>
            </w:r>
            <w:r w:rsidRPr="000F365E">
              <w:rPr>
                <w:rFonts w:eastAsia="Arial" w:cstheme="minorHAnsi"/>
                <w:bCs/>
                <w:sz w:val="20"/>
                <w:szCs w:val="20"/>
              </w:rPr>
              <w:t>%. Projekty pokrývají široké spektrum podporovaných aktivit v oblasti podpory sociálního začleňování (37 % celkové alokace), prorodinných aktivit (33 %), podpory zaměstnanosti (23 %) a sociálního podnikání (7 %). Ze strany ŘO OPZ jsou aktivně šířeny zkušenosti z implementace CLLD do dalších členských států, např. v rámci prezentace o</w:t>
            </w:r>
            <w:r w:rsidR="000148A1" w:rsidRPr="000F365E">
              <w:rPr>
                <w:rFonts w:eastAsia="Arial" w:cstheme="minorHAnsi"/>
                <w:bCs/>
                <w:sz w:val="20"/>
                <w:szCs w:val="20"/>
              </w:rPr>
              <w:t> </w:t>
            </w:r>
            <w:r w:rsidRPr="000F365E">
              <w:rPr>
                <w:rFonts w:eastAsia="Arial" w:cstheme="minorHAnsi"/>
                <w:bCs/>
                <w:sz w:val="20"/>
                <w:szCs w:val="20"/>
              </w:rPr>
              <w:t xml:space="preserve">dobré praxi implementace CLLD v OPZ v ČR na 13. konferenci OECD k rozvoji venkova </w:t>
            </w:r>
            <w:r w:rsidRPr="00842CFE">
              <w:rPr>
                <w:rFonts w:eastAsia="Arial" w:cstheme="minorHAnsi"/>
                <w:bCs/>
                <w:sz w:val="20"/>
                <w:szCs w:val="20"/>
                <w:lang w:val="en-GB"/>
              </w:rPr>
              <w:t>„</w:t>
            </w:r>
            <w:r w:rsidRPr="00842CFE">
              <w:rPr>
                <w:rStyle w:val="Zdraznn"/>
                <w:rFonts w:cstheme="minorHAnsi"/>
                <w:i w:val="0"/>
                <w:iCs w:val="0"/>
                <w:sz w:val="20"/>
                <w:szCs w:val="20"/>
                <w:lang w:val="en-GB"/>
              </w:rPr>
              <w:t>Building Sustainable, Resilient, and Thriving Rural Places</w:t>
            </w:r>
            <w:r w:rsidRPr="000F365E">
              <w:rPr>
                <w:rStyle w:val="Zdraznn"/>
                <w:rFonts w:cstheme="minorHAnsi"/>
                <w:i w:val="0"/>
                <w:iCs w:val="0"/>
                <w:sz w:val="20"/>
                <w:szCs w:val="20"/>
              </w:rPr>
              <w:t>” v</w:t>
            </w:r>
            <w:r w:rsidRPr="000F365E">
              <w:rPr>
                <w:rFonts w:eastAsia="Arial" w:cstheme="minorHAnsi"/>
                <w:bCs/>
                <w:sz w:val="20"/>
                <w:szCs w:val="20"/>
              </w:rPr>
              <w:t xml:space="preserve"> září 2022 v Irsku, participací v pracovních skupinách </w:t>
            </w:r>
            <w:r w:rsidRPr="000F365E">
              <w:rPr>
                <w:rFonts w:eastAsia="Arial" w:cstheme="minorHAnsi"/>
                <w:bCs/>
                <w:sz w:val="20"/>
                <w:szCs w:val="20"/>
              </w:rPr>
              <w:lastRenderedPageBreak/>
              <w:t>pro</w:t>
            </w:r>
            <w:r w:rsidR="000148A1" w:rsidRPr="000F365E">
              <w:rPr>
                <w:rFonts w:eastAsia="Arial" w:cstheme="minorHAnsi"/>
                <w:bCs/>
                <w:sz w:val="20"/>
                <w:szCs w:val="20"/>
              </w:rPr>
              <w:t> </w:t>
            </w:r>
            <w:r w:rsidRPr="000F365E">
              <w:rPr>
                <w:rFonts w:eastAsia="Arial" w:cstheme="minorHAnsi"/>
                <w:bCs/>
                <w:sz w:val="20"/>
                <w:szCs w:val="20"/>
              </w:rPr>
              <w:t>tvorbu Příručky pro teritoriální a místní rozvojové strategie (</w:t>
            </w:r>
            <w:r w:rsidRPr="00842CFE">
              <w:rPr>
                <w:rFonts w:eastAsia="Arial" w:cstheme="minorHAnsi"/>
                <w:bCs/>
                <w:sz w:val="20"/>
                <w:szCs w:val="20"/>
                <w:lang w:val="en-GB"/>
              </w:rPr>
              <w:t>Handbook of territorial and local development strategies</w:t>
            </w:r>
            <w:r w:rsidRPr="000F365E">
              <w:rPr>
                <w:rFonts w:eastAsia="Arial" w:cstheme="minorHAnsi"/>
                <w:bCs/>
                <w:sz w:val="20"/>
                <w:szCs w:val="20"/>
              </w:rPr>
              <w:t xml:space="preserve">) a prezentací dobré praxe multifondového CLLD a ESF z ČR na akci k představení </w:t>
            </w:r>
            <w:r w:rsidR="000148A1" w:rsidRPr="000F365E">
              <w:rPr>
                <w:rFonts w:eastAsia="Arial" w:cstheme="minorHAnsi"/>
                <w:bCs/>
                <w:sz w:val="20"/>
                <w:szCs w:val="20"/>
              </w:rPr>
              <w:t>p</w:t>
            </w:r>
            <w:r w:rsidRPr="000F365E">
              <w:rPr>
                <w:rFonts w:eastAsia="Arial" w:cstheme="minorHAnsi"/>
                <w:bCs/>
                <w:sz w:val="20"/>
                <w:szCs w:val="20"/>
              </w:rPr>
              <w:t xml:space="preserve">říručky Evropskou komisí, sdílením dobré praxe prezentacemi pro zástupce MAS a ŘO Finska a Litvy. </w:t>
            </w:r>
          </w:p>
          <w:p w14:paraId="2FA4DE12" w14:textId="77777777" w:rsidR="003C30CD" w:rsidRPr="000F365E" w:rsidRDefault="003C30CD" w:rsidP="00105CB2">
            <w:pPr>
              <w:spacing w:after="120"/>
              <w:ind w:left="136" w:right="238"/>
              <w:rPr>
                <w:rFonts w:eastAsia="Arial" w:cstheme="minorHAnsi"/>
                <w:bCs/>
                <w:sz w:val="20"/>
                <w:szCs w:val="20"/>
              </w:rPr>
            </w:pPr>
            <w:r w:rsidRPr="000F365E">
              <w:rPr>
                <w:rFonts w:eastAsia="Arial" w:cstheme="minorHAnsi"/>
                <w:bCs/>
                <w:sz w:val="20"/>
                <w:szCs w:val="20"/>
              </w:rPr>
              <w:t xml:space="preserve">Byla provedena evaluace dobré praxe místních akčních skupin s cílem jejího šíření a využití mj. v přípravě strategií MAS v období 2021+. </w:t>
            </w:r>
          </w:p>
          <w:p w14:paraId="24667E21" w14:textId="77777777" w:rsidR="008C6CAA" w:rsidRPr="00BE54CD" w:rsidRDefault="008C6CAA" w:rsidP="008C6CAA">
            <w:pPr>
              <w:spacing w:after="120"/>
              <w:ind w:left="136" w:right="238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 xml:space="preserve">V oblasti ITI a IPRÚ byla realizace projektů v roce 2022 ukončena, v realizaci zbývá 1 projekt do roku 2023. Vyúčtované výdaje na konci roku za ITI činily 76 % a za IPRÚ </w:t>
            </w:r>
            <w:proofErr w:type="gramStart"/>
            <w:r>
              <w:rPr>
                <w:rFonts w:ascii="Arial" w:eastAsia="Arial" w:hAnsi="Arial" w:cs="Arial"/>
                <w:bCs/>
                <w:sz w:val="20"/>
                <w:szCs w:val="20"/>
              </w:rPr>
              <w:t>82%</w:t>
            </w:r>
            <w:proofErr w:type="gramEnd"/>
            <w:r>
              <w:rPr>
                <w:rFonts w:ascii="Arial" w:eastAsia="Arial" w:hAnsi="Arial" w:cs="Arial"/>
                <w:bCs/>
                <w:sz w:val="20"/>
                <w:szCs w:val="20"/>
              </w:rPr>
              <w:t xml:space="preserve">. </w:t>
            </w:r>
          </w:p>
          <w:p w14:paraId="08F3E60C" w14:textId="77777777" w:rsidR="00777075" w:rsidRPr="000F365E" w:rsidRDefault="00777075" w:rsidP="00105CB2">
            <w:pPr>
              <w:spacing w:after="120"/>
              <w:ind w:right="238"/>
              <w:rPr>
                <w:rFonts w:eastAsia="Arial" w:cstheme="minorHAnsi"/>
                <w:b/>
                <w:sz w:val="20"/>
                <w:szCs w:val="20"/>
              </w:rPr>
            </w:pPr>
          </w:p>
          <w:p w14:paraId="1A4F10B2" w14:textId="0FCD1149" w:rsidR="00777075" w:rsidRPr="000F365E" w:rsidRDefault="00777075" w:rsidP="00105CB2">
            <w:pPr>
              <w:spacing w:after="120"/>
              <w:ind w:right="238"/>
              <w:rPr>
                <w:rFonts w:eastAsia="Arial" w:cstheme="minorHAnsi"/>
                <w:b/>
                <w:sz w:val="20"/>
                <w:szCs w:val="20"/>
              </w:rPr>
            </w:pPr>
          </w:p>
        </w:tc>
      </w:tr>
      <w:tr w:rsidR="002A326C" w:rsidRPr="00096506" w14:paraId="1A4F10BA" w14:textId="77777777" w:rsidTr="00BA75D4">
        <w:trPr>
          <w:trHeight w:val="8296"/>
        </w:trPr>
        <w:tc>
          <w:tcPr>
            <w:tcW w:w="1378" w:type="dxa"/>
            <w:vAlign w:val="center"/>
          </w:tcPr>
          <w:p w14:paraId="1A4F10B4" w14:textId="6B6D6B2C" w:rsidR="002A326C" w:rsidRPr="00096506" w:rsidRDefault="002A326C" w:rsidP="002A326C">
            <w:pPr>
              <w:ind w:left="181"/>
              <w:rPr>
                <w:rFonts w:ascii="Arial" w:hAnsi="Arial" w:cs="Arial"/>
                <w:sz w:val="20"/>
                <w:szCs w:val="20"/>
              </w:rPr>
            </w:pPr>
            <w:r w:rsidRPr="00096506">
              <w:rPr>
                <w:rFonts w:ascii="Arial" w:hAnsi="Arial" w:cs="Arial"/>
                <w:sz w:val="20"/>
                <w:szCs w:val="20"/>
              </w:rPr>
              <w:lastRenderedPageBreak/>
              <w:t>3.3</w:t>
            </w:r>
          </w:p>
        </w:tc>
        <w:tc>
          <w:tcPr>
            <w:tcW w:w="2478" w:type="dxa"/>
            <w:vAlign w:val="center"/>
          </w:tcPr>
          <w:p w14:paraId="1A4F10B5" w14:textId="77777777" w:rsidR="002A326C" w:rsidRPr="00096506" w:rsidRDefault="002A326C" w:rsidP="00AA673F">
            <w:pPr>
              <w:ind w:left="79" w:right="10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96506">
              <w:rPr>
                <w:rFonts w:ascii="Arial" w:hAnsi="Arial" w:cs="Arial"/>
                <w:sz w:val="20"/>
                <w:szCs w:val="20"/>
              </w:rPr>
              <w:t>Sociální inovace a mezinárodní spolupráce</w:t>
            </w:r>
          </w:p>
        </w:tc>
        <w:tc>
          <w:tcPr>
            <w:tcW w:w="10065" w:type="dxa"/>
            <w:vAlign w:val="center"/>
          </w:tcPr>
          <w:p w14:paraId="48E146F7" w14:textId="77777777" w:rsidR="002C722A" w:rsidRPr="00105CB2" w:rsidRDefault="003C33C3" w:rsidP="00397699">
            <w:pPr>
              <w:spacing w:after="120"/>
              <w:ind w:right="238"/>
              <w:rPr>
                <w:rFonts w:cstheme="minorHAnsi"/>
                <w:sz w:val="20"/>
                <w:szCs w:val="20"/>
              </w:rPr>
            </w:pPr>
            <w:r w:rsidRPr="00105CB2">
              <w:rPr>
                <w:rFonts w:cstheme="minorHAnsi"/>
                <w:b/>
                <w:sz w:val="20"/>
                <w:szCs w:val="20"/>
              </w:rPr>
              <w:t>Prioritní osa 3 „Sociální inovace a mezinárodní spolupráce“</w:t>
            </w:r>
            <w:r w:rsidRPr="00105CB2">
              <w:rPr>
                <w:rFonts w:cstheme="minorHAnsi"/>
                <w:sz w:val="20"/>
                <w:szCs w:val="20"/>
              </w:rPr>
              <w:t xml:space="preserve"> (</w:t>
            </w:r>
            <w:r w:rsidR="000E070F" w:rsidRPr="00105CB2">
              <w:rPr>
                <w:rFonts w:cstheme="minorHAnsi"/>
                <w:sz w:val="20"/>
                <w:szCs w:val="20"/>
              </w:rPr>
              <w:t>PO3): Objem prostředků alokovaný</w:t>
            </w:r>
            <w:r w:rsidRPr="00105CB2">
              <w:rPr>
                <w:rFonts w:cstheme="minorHAnsi"/>
                <w:sz w:val="20"/>
                <w:szCs w:val="20"/>
              </w:rPr>
              <w:t xml:space="preserve">ch na PO3 představuje </w:t>
            </w:r>
            <w:r w:rsidR="00435BE9" w:rsidRPr="00105CB2">
              <w:rPr>
                <w:rFonts w:cstheme="minorHAnsi"/>
                <w:sz w:val="20"/>
                <w:szCs w:val="20"/>
              </w:rPr>
              <w:t xml:space="preserve">46,6 mil. EUR, tj. </w:t>
            </w:r>
            <w:r w:rsidR="00E02FF0" w:rsidRPr="00105CB2">
              <w:rPr>
                <w:rFonts w:cstheme="minorHAnsi"/>
                <w:sz w:val="20"/>
                <w:szCs w:val="20"/>
              </w:rPr>
              <w:t>2</w:t>
            </w:r>
            <w:r w:rsidRPr="00105CB2">
              <w:rPr>
                <w:rFonts w:cstheme="minorHAnsi"/>
                <w:sz w:val="20"/>
                <w:szCs w:val="20"/>
              </w:rPr>
              <w:t xml:space="preserve"> % z celkového objemu finančních prostř</w:t>
            </w:r>
            <w:r w:rsidR="009743B1" w:rsidRPr="00105CB2">
              <w:rPr>
                <w:rFonts w:cstheme="minorHAnsi"/>
                <w:sz w:val="20"/>
                <w:szCs w:val="20"/>
              </w:rPr>
              <w:t>edků určených na OPZ.</w:t>
            </w:r>
            <w:r w:rsidR="00E02FF0" w:rsidRPr="00105CB2">
              <w:rPr>
                <w:rFonts w:cstheme="minorHAnsi"/>
                <w:sz w:val="20"/>
                <w:szCs w:val="20"/>
              </w:rPr>
              <w:t xml:space="preserve"> PO3 je jako celek zaměřena na podporu sociálních inovací a mezinárodní spoluprá</w:t>
            </w:r>
            <w:r w:rsidR="00471DEA" w:rsidRPr="00105CB2">
              <w:rPr>
                <w:rFonts w:cstheme="minorHAnsi"/>
                <w:sz w:val="20"/>
                <w:szCs w:val="20"/>
              </w:rPr>
              <w:t>ci</w:t>
            </w:r>
            <w:r w:rsidR="00E02FF0" w:rsidRPr="00105CB2">
              <w:rPr>
                <w:rFonts w:cstheme="minorHAnsi"/>
                <w:sz w:val="20"/>
                <w:szCs w:val="20"/>
              </w:rPr>
              <w:t>, proto je předpokládán její dílčí příspěvek k tematickému cíli č. 1 Posílení výzkumu, technologického rozvoje a inovací.</w:t>
            </w:r>
          </w:p>
          <w:p w14:paraId="581F631C" w14:textId="7ADD589E" w:rsidR="008B3A08" w:rsidRPr="00105CB2" w:rsidRDefault="00AF56CD" w:rsidP="00105CB2">
            <w:pPr>
              <w:spacing w:after="120"/>
              <w:ind w:left="128" w:right="238"/>
              <w:rPr>
                <w:rFonts w:eastAsia="Arial" w:cstheme="minorHAnsi"/>
                <w:bCs/>
                <w:sz w:val="20"/>
                <w:szCs w:val="20"/>
              </w:rPr>
            </w:pPr>
            <w:bookmarkStart w:id="1" w:name="_Hlk126172554"/>
            <w:r w:rsidRPr="00105CB2">
              <w:rPr>
                <w:rFonts w:eastAsia="Arial" w:cstheme="minorHAnsi"/>
                <w:bCs/>
                <w:sz w:val="20"/>
                <w:szCs w:val="20"/>
              </w:rPr>
              <w:t xml:space="preserve">V prioritní ose 3 v roce 2022 již nebyly vyhlašovány </w:t>
            </w:r>
            <w:r w:rsidR="009559F2">
              <w:rPr>
                <w:rFonts w:eastAsia="Arial" w:cstheme="minorHAnsi"/>
                <w:bCs/>
                <w:sz w:val="20"/>
                <w:szCs w:val="20"/>
              </w:rPr>
              <w:t xml:space="preserve">nové </w:t>
            </w:r>
            <w:r w:rsidRPr="00105CB2">
              <w:rPr>
                <w:rFonts w:eastAsia="Arial" w:cstheme="minorHAnsi"/>
                <w:bCs/>
                <w:sz w:val="20"/>
                <w:szCs w:val="20"/>
              </w:rPr>
              <w:t xml:space="preserve">výzvy. </w:t>
            </w:r>
            <w:r w:rsidR="008B3A08" w:rsidRPr="00105CB2">
              <w:rPr>
                <w:rFonts w:eastAsia="Arial" w:cstheme="minorHAnsi"/>
                <w:bCs/>
                <w:sz w:val="20"/>
                <w:szCs w:val="20"/>
              </w:rPr>
              <w:t>V roce 2022 pokračovala či byla ukončována realizace a administrace projektů podpořených v předchozích letech. Kvůli doznívajícím omezením spojených s </w:t>
            </w:r>
            <w:r w:rsidR="00A73015">
              <w:rPr>
                <w:rFonts w:eastAsia="Arial" w:cstheme="minorHAnsi"/>
                <w:bCs/>
                <w:sz w:val="20"/>
                <w:szCs w:val="20"/>
              </w:rPr>
              <w:t>c</w:t>
            </w:r>
            <w:r w:rsidR="008B3A08" w:rsidRPr="00105CB2">
              <w:rPr>
                <w:rFonts w:eastAsia="Arial" w:cstheme="minorHAnsi"/>
                <w:bCs/>
                <w:sz w:val="20"/>
                <w:szCs w:val="20"/>
              </w:rPr>
              <w:t>ovid-19 došlo i v PO3 k prodloužení doby realizace několika projektů do roku 2023</w:t>
            </w:r>
            <w:r w:rsidR="008B3A08" w:rsidRPr="00D06BBD">
              <w:rPr>
                <w:rFonts w:eastAsia="Arial" w:cstheme="minorHAnsi"/>
                <w:bCs/>
                <w:sz w:val="20"/>
                <w:szCs w:val="20"/>
              </w:rPr>
              <w:t xml:space="preserve">. V prioritní ose 3 bylo od začátku programu vyhlášeno celkem </w:t>
            </w:r>
            <w:r w:rsidR="005E355B" w:rsidRPr="00D06BBD">
              <w:rPr>
                <w:rFonts w:eastAsia="Arial" w:cstheme="minorHAnsi"/>
                <w:bCs/>
                <w:sz w:val="20"/>
                <w:szCs w:val="20"/>
              </w:rPr>
              <w:t>osm</w:t>
            </w:r>
            <w:r w:rsidR="00362F19" w:rsidRPr="00D06BBD">
              <w:rPr>
                <w:rFonts w:eastAsia="Arial" w:cstheme="minorHAnsi"/>
                <w:bCs/>
                <w:sz w:val="20"/>
                <w:szCs w:val="20"/>
              </w:rPr>
              <w:t xml:space="preserve"> </w:t>
            </w:r>
            <w:r w:rsidR="008B3A08" w:rsidRPr="00D06BBD">
              <w:rPr>
                <w:rFonts w:eastAsia="Arial" w:cstheme="minorHAnsi"/>
                <w:bCs/>
                <w:sz w:val="20"/>
                <w:szCs w:val="20"/>
              </w:rPr>
              <w:t xml:space="preserve">výzev, do kterých bylo zaregistrováno </w:t>
            </w:r>
            <w:r w:rsidR="00362F19" w:rsidRPr="00D06BBD">
              <w:rPr>
                <w:rFonts w:eastAsia="Arial" w:cstheme="minorHAnsi"/>
                <w:bCs/>
                <w:sz w:val="20"/>
                <w:szCs w:val="20"/>
              </w:rPr>
              <w:t xml:space="preserve">463 </w:t>
            </w:r>
            <w:r w:rsidR="008B3A08" w:rsidRPr="00D06BBD">
              <w:rPr>
                <w:rFonts w:eastAsia="Arial" w:cstheme="minorHAnsi"/>
                <w:bCs/>
                <w:sz w:val="20"/>
                <w:szCs w:val="20"/>
              </w:rPr>
              <w:t xml:space="preserve">žádostí o podporu a podpořeno bylo </w:t>
            </w:r>
            <w:r w:rsidR="00D06BBD" w:rsidRPr="00D06BBD">
              <w:rPr>
                <w:rFonts w:eastAsia="Arial" w:cstheme="minorHAnsi"/>
                <w:bCs/>
                <w:sz w:val="20"/>
                <w:szCs w:val="20"/>
              </w:rPr>
              <w:t>18</w:t>
            </w:r>
            <w:r w:rsidR="00D06BBD">
              <w:rPr>
                <w:rFonts w:eastAsia="Arial" w:cstheme="minorHAnsi"/>
                <w:bCs/>
                <w:sz w:val="20"/>
                <w:szCs w:val="20"/>
              </w:rPr>
              <w:t>3</w:t>
            </w:r>
            <w:r w:rsidR="00D06BBD" w:rsidRPr="00D06BBD">
              <w:rPr>
                <w:rFonts w:eastAsia="Arial" w:cstheme="minorHAnsi"/>
                <w:bCs/>
                <w:sz w:val="20"/>
                <w:szCs w:val="20"/>
              </w:rPr>
              <w:t xml:space="preserve"> </w:t>
            </w:r>
            <w:r w:rsidR="008B3A08" w:rsidRPr="00D06BBD">
              <w:rPr>
                <w:rFonts w:eastAsia="Arial" w:cstheme="minorHAnsi"/>
                <w:bCs/>
                <w:sz w:val="20"/>
                <w:szCs w:val="20"/>
              </w:rPr>
              <w:t xml:space="preserve">žádostí (projekty s právním aktem) ve výši </w:t>
            </w:r>
            <w:r w:rsidR="00362F19" w:rsidRPr="00D06BBD">
              <w:rPr>
                <w:rFonts w:cstheme="minorHAnsi"/>
                <w:sz w:val="20"/>
                <w:szCs w:val="20"/>
              </w:rPr>
              <w:t>53</w:t>
            </w:r>
            <w:r w:rsidR="008B3A08" w:rsidRPr="00D06BBD">
              <w:rPr>
                <w:rFonts w:cstheme="minorHAnsi"/>
                <w:sz w:val="20"/>
                <w:szCs w:val="20"/>
              </w:rPr>
              <w:t> </w:t>
            </w:r>
            <w:r w:rsidR="008B3A08" w:rsidRPr="00D06BBD">
              <w:rPr>
                <w:rFonts w:eastAsia="Arial" w:cstheme="minorHAnsi"/>
                <w:bCs/>
                <w:sz w:val="20"/>
                <w:szCs w:val="20"/>
              </w:rPr>
              <w:t xml:space="preserve">mil. EUR. U 157 ze 180 projektů byla v roce 2022 </w:t>
            </w:r>
            <w:r w:rsidR="00385D1E" w:rsidRPr="00D06BBD">
              <w:rPr>
                <w:rFonts w:eastAsia="Arial" w:cstheme="minorHAnsi"/>
                <w:bCs/>
                <w:sz w:val="20"/>
                <w:szCs w:val="20"/>
              </w:rPr>
              <w:t xml:space="preserve">již </w:t>
            </w:r>
            <w:r w:rsidR="008B3A08" w:rsidRPr="00D06BBD">
              <w:rPr>
                <w:rFonts w:eastAsia="Arial" w:cstheme="minorHAnsi"/>
                <w:bCs/>
                <w:sz w:val="20"/>
                <w:szCs w:val="20"/>
              </w:rPr>
              <w:t>skončena administrace</w:t>
            </w:r>
            <w:r w:rsidR="00385D1E" w:rsidRPr="00D06BBD">
              <w:rPr>
                <w:rFonts w:eastAsia="Arial" w:cstheme="minorHAnsi"/>
                <w:bCs/>
                <w:sz w:val="20"/>
                <w:szCs w:val="20"/>
              </w:rPr>
              <w:t xml:space="preserve">. </w:t>
            </w:r>
          </w:p>
          <w:p w14:paraId="472A1B4A" w14:textId="2CF438A4" w:rsidR="008B3A08" w:rsidRPr="00105CB2" w:rsidRDefault="008B3A08" w:rsidP="00105CB2">
            <w:pPr>
              <w:spacing w:after="120"/>
              <w:ind w:left="128" w:right="238"/>
              <w:rPr>
                <w:rFonts w:eastAsia="Arial" w:cstheme="minorHAnsi"/>
                <w:bCs/>
                <w:color w:val="FF0000"/>
                <w:sz w:val="20"/>
                <w:szCs w:val="20"/>
              </w:rPr>
            </w:pPr>
            <w:r w:rsidRPr="00105CB2">
              <w:rPr>
                <w:rFonts w:eastAsia="Arial" w:cstheme="minorHAnsi"/>
                <w:bCs/>
                <w:sz w:val="20"/>
                <w:szCs w:val="20"/>
              </w:rPr>
              <w:t xml:space="preserve">V průběhu programového období došlo ke kvalitativním změnám v zaměření vyhlašovaných výzev, a to i s ohledem na posun ve vnímání sociálních inovací jak na </w:t>
            </w:r>
            <w:r w:rsidR="009559F2">
              <w:rPr>
                <w:rFonts w:eastAsia="Arial" w:cstheme="minorHAnsi"/>
                <w:bCs/>
                <w:sz w:val="20"/>
                <w:szCs w:val="20"/>
              </w:rPr>
              <w:t xml:space="preserve">úrovni </w:t>
            </w:r>
            <w:r w:rsidRPr="00105CB2">
              <w:rPr>
                <w:rFonts w:eastAsia="Arial" w:cstheme="minorHAnsi"/>
                <w:bCs/>
                <w:sz w:val="20"/>
                <w:szCs w:val="20"/>
              </w:rPr>
              <w:t>ŘO, tak i ve společnosti. První výzvy byly zaměřené především na zavádění inovací (jako především nových řešení a způsobů práce) do organizací a</w:t>
            </w:r>
            <w:r w:rsidR="009559F2">
              <w:rPr>
                <w:rFonts w:eastAsia="Arial" w:cstheme="minorHAnsi"/>
                <w:bCs/>
                <w:sz w:val="20"/>
                <w:szCs w:val="20"/>
              </w:rPr>
              <w:t> </w:t>
            </w:r>
            <w:r w:rsidRPr="00105CB2">
              <w:rPr>
                <w:rFonts w:eastAsia="Arial" w:cstheme="minorHAnsi"/>
                <w:bCs/>
                <w:sz w:val="20"/>
                <w:szCs w:val="20"/>
              </w:rPr>
              <w:t xml:space="preserve">budování kapacit NNO. Snahou bylo též podpořit veřejnou správu v zavádění nových a efektivnějších nástrojů a přístupů, což se ukazuje jako velmi potřebné i do nového </w:t>
            </w:r>
            <w:r w:rsidRPr="00105CB2">
              <w:rPr>
                <w:rFonts w:eastAsia="Arial" w:cstheme="minorHAnsi"/>
                <w:bCs/>
                <w:color w:val="auto"/>
                <w:sz w:val="20"/>
                <w:szCs w:val="20"/>
              </w:rPr>
              <w:t xml:space="preserve">programového období. Postupem doby se však ukázalo jako stěžejní podporovat organizace především v procesu vlastního učení </w:t>
            </w:r>
            <w:bookmarkStart w:id="2" w:name="_Hlk126173191"/>
            <w:r w:rsidRPr="00105CB2">
              <w:rPr>
                <w:rFonts w:eastAsia="Arial" w:cstheme="minorHAnsi"/>
                <w:bCs/>
                <w:color w:val="auto"/>
                <w:sz w:val="20"/>
                <w:szCs w:val="20"/>
              </w:rPr>
              <w:t xml:space="preserve">se (o procesech, vlastní službě a dopadech) </w:t>
            </w:r>
            <w:bookmarkEnd w:id="2"/>
            <w:r w:rsidRPr="00105CB2">
              <w:rPr>
                <w:rFonts w:eastAsia="Arial" w:cstheme="minorHAnsi"/>
                <w:bCs/>
                <w:color w:val="auto"/>
                <w:sz w:val="20"/>
                <w:szCs w:val="20"/>
              </w:rPr>
              <w:t>a zjišťování reálných potřeb svých klientů díky designovému přístupu. Tato zjištění se ukazují jako stěžejní se promítají i do začátku nového programového období.</w:t>
            </w:r>
          </w:p>
          <w:bookmarkEnd w:id="1"/>
          <w:p w14:paraId="3565B1DC" w14:textId="77777777" w:rsidR="008B3A08" w:rsidRPr="00105CB2" w:rsidRDefault="008B3A08" w:rsidP="00105CB2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244EAC3A" w14:textId="77777777" w:rsidR="00777075" w:rsidRPr="00105CB2" w:rsidRDefault="00777075" w:rsidP="00105CB2">
            <w:pPr>
              <w:spacing w:after="120"/>
              <w:ind w:left="136" w:right="238"/>
              <w:rPr>
                <w:rFonts w:cstheme="minorHAnsi"/>
                <w:sz w:val="20"/>
                <w:szCs w:val="20"/>
              </w:rPr>
            </w:pPr>
          </w:p>
          <w:p w14:paraId="098E8BE3" w14:textId="77777777" w:rsidR="00777075" w:rsidRPr="00105CB2" w:rsidRDefault="00777075" w:rsidP="00105CB2">
            <w:pPr>
              <w:spacing w:after="120"/>
              <w:ind w:left="136" w:right="238"/>
              <w:rPr>
                <w:rFonts w:cstheme="minorHAnsi"/>
                <w:sz w:val="20"/>
                <w:szCs w:val="20"/>
              </w:rPr>
            </w:pPr>
          </w:p>
          <w:p w14:paraId="5F786F38" w14:textId="77777777" w:rsidR="00777075" w:rsidRPr="00105CB2" w:rsidRDefault="00777075" w:rsidP="00105CB2">
            <w:pPr>
              <w:spacing w:after="120"/>
              <w:ind w:left="136" w:right="238"/>
              <w:rPr>
                <w:rFonts w:cstheme="minorHAnsi"/>
                <w:sz w:val="20"/>
                <w:szCs w:val="20"/>
              </w:rPr>
            </w:pPr>
          </w:p>
          <w:p w14:paraId="49E34559" w14:textId="77777777" w:rsidR="00777075" w:rsidRPr="00105CB2" w:rsidRDefault="00777075" w:rsidP="00105CB2">
            <w:pPr>
              <w:spacing w:after="120"/>
              <w:ind w:left="136" w:right="238"/>
              <w:rPr>
                <w:rFonts w:cstheme="minorHAnsi"/>
                <w:sz w:val="20"/>
                <w:szCs w:val="20"/>
              </w:rPr>
            </w:pPr>
          </w:p>
          <w:p w14:paraId="2107706A" w14:textId="77777777" w:rsidR="00777075" w:rsidRPr="00105CB2" w:rsidRDefault="00777075" w:rsidP="00105CB2">
            <w:pPr>
              <w:spacing w:after="120"/>
              <w:ind w:left="136" w:right="238"/>
              <w:rPr>
                <w:rFonts w:cstheme="minorHAnsi"/>
                <w:sz w:val="20"/>
                <w:szCs w:val="20"/>
              </w:rPr>
            </w:pPr>
          </w:p>
          <w:p w14:paraId="322AC456" w14:textId="77777777" w:rsidR="00777075" w:rsidRPr="00105CB2" w:rsidRDefault="00777075" w:rsidP="00105CB2">
            <w:pPr>
              <w:spacing w:after="120"/>
              <w:ind w:left="136" w:right="238"/>
              <w:rPr>
                <w:rFonts w:cstheme="minorHAnsi"/>
                <w:sz w:val="20"/>
                <w:szCs w:val="20"/>
              </w:rPr>
            </w:pPr>
          </w:p>
          <w:p w14:paraId="10DBE41E" w14:textId="77777777" w:rsidR="00777075" w:rsidRPr="00105CB2" w:rsidRDefault="00777075" w:rsidP="00105CB2">
            <w:pPr>
              <w:spacing w:after="120"/>
              <w:ind w:right="238"/>
              <w:rPr>
                <w:rFonts w:cstheme="minorHAnsi"/>
                <w:sz w:val="20"/>
                <w:szCs w:val="20"/>
              </w:rPr>
            </w:pPr>
          </w:p>
          <w:p w14:paraId="2EDA15E0" w14:textId="77777777" w:rsidR="00777075" w:rsidRPr="00105CB2" w:rsidRDefault="00777075" w:rsidP="00105CB2">
            <w:pPr>
              <w:spacing w:after="120"/>
              <w:ind w:left="136" w:right="238"/>
              <w:rPr>
                <w:rFonts w:cstheme="minorHAnsi"/>
                <w:sz w:val="20"/>
                <w:szCs w:val="20"/>
              </w:rPr>
            </w:pPr>
          </w:p>
          <w:p w14:paraId="1A4F10B9" w14:textId="5ECB0DB7" w:rsidR="00777075" w:rsidRPr="00105CB2" w:rsidRDefault="00777075" w:rsidP="00105CB2">
            <w:pPr>
              <w:spacing w:after="120"/>
              <w:ind w:left="136" w:right="238"/>
              <w:rPr>
                <w:rFonts w:cstheme="minorHAnsi"/>
                <w:sz w:val="20"/>
                <w:szCs w:val="20"/>
              </w:rPr>
            </w:pPr>
          </w:p>
        </w:tc>
      </w:tr>
      <w:tr w:rsidR="002A326C" w:rsidRPr="00096506" w14:paraId="1A4F10C1" w14:textId="77777777" w:rsidTr="00213EDB">
        <w:trPr>
          <w:trHeight w:val="8722"/>
        </w:trPr>
        <w:tc>
          <w:tcPr>
            <w:tcW w:w="1378" w:type="dxa"/>
            <w:vAlign w:val="center"/>
          </w:tcPr>
          <w:p w14:paraId="1A4F10BB" w14:textId="3E2146AD" w:rsidR="002A326C" w:rsidRPr="00096506" w:rsidRDefault="002A326C" w:rsidP="002A326C">
            <w:pPr>
              <w:ind w:left="181"/>
              <w:rPr>
                <w:rFonts w:ascii="Arial" w:hAnsi="Arial" w:cs="Arial"/>
                <w:sz w:val="20"/>
                <w:szCs w:val="20"/>
              </w:rPr>
            </w:pPr>
            <w:r w:rsidRPr="00096506">
              <w:rPr>
                <w:rFonts w:ascii="Arial" w:hAnsi="Arial" w:cs="Arial"/>
                <w:sz w:val="20"/>
                <w:szCs w:val="20"/>
              </w:rPr>
              <w:lastRenderedPageBreak/>
              <w:t>3.4</w:t>
            </w:r>
          </w:p>
        </w:tc>
        <w:tc>
          <w:tcPr>
            <w:tcW w:w="2478" w:type="dxa"/>
            <w:vAlign w:val="center"/>
          </w:tcPr>
          <w:p w14:paraId="1A4F10BC" w14:textId="77777777" w:rsidR="002A326C" w:rsidRPr="00096506" w:rsidRDefault="002A326C" w:rsidP="002A326C">
            <w:pPr>
              <w:ind w:left="79" w:right="103"/>
              <w:rPr>
                <w:rFonts w:ascii="Arial" w:hAnsi="Arial" w:cs="Arial"/>
                <w:sz w:val="20"/>
                <w:szCs w:val="20"/>
              </w:rPr>
            </w:pPr>
            <w:r w:rsidRPr="00096506">
              <w:rPr>
                <w:rFonts w:ascii="Arial" w:hAnsi="Arial" w:cs="Arial"/>
                <w:sz w:val="20"/>
                <w:szCs w:val="20"/>
              </w:rPr>
              <w:t>Efektivní veřejná správa</w:t>
            </w:r>
          </w:p>
        </w:tc>
        <w:tc>
          <w:tcPr>
            <w:tcW w:w="10065" w:type="dxa"/>
          </w:tcPr>
          <w:p w14:paraId="2E8235A7" w14:textId="098DF7AF" w:rsidR="00536191" w:rsidRPr="00105CB2" w:rsidRDefault="00E70758" w:rsidP="00397699">
            <w:pPr>
              <w:spacing w:after="120"/>
              <w:ind w:right="238"/>
              <w:rPr>
                <w:rFonts w:cstheme="minorHAnsi"/>
                <w:b/>
                <w:sz w:val="20"/>
                <w:szCs w:val="20"/>
              </w:rPr>
            </w:pPr>
            <w:r w:rsidRPr="00105CB2">
              <w:rPr>
                <w:rFonts w:cstheme="minorHAnsi"/>
                <w:b/>
                <w:sz w:val="20"/>
                <w:szCs w:val="20"/>
              </w:rPr>
              <w:t xml:space="preserve">Prioritní osa 4 „Efektivní veřejná správa“ </w:t>
            </w:r>
            <w:r w:rsidRPr="00105CB2">
              <w:rPr>
                <w:rFonts w:cstheme="minorHAnsi"/>
                <w:sz w:val="20"/>
                <w:szCs w:val="20"/>
              </w:rPr>
              <w:t xml:space="preserve">(PO4): </w:t>
            </w:r>
            <w:r w:rsidR="002A326C" w:rsidRPr="00105CB2">
              <w:rPr>
                <w:rFonts w:cstheme="minorHAnsi"/>
                <w:sz w:val="20"/>
                <w:szCs w:val="20"/>
              </w:rPr>
              <w:t>Objem prostředků alokovaných na PO4</w:t>
            </w:r>
            <w:r w:rsidR="002A326C" w:rsidRPr="00105CB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2A326C" w:rsidRPr="00105CB2">
              <w:rPr>
                <w:rFonts w:cstheme="minorHAnsi"/>
                <w:sz w:val="20"/>
                <w:szCs w:val="20"/>
              </w:rPr>
              <w:t xml:space="preserve">představuje </w:t>
            </w:r>
            <w:r w:rsidR="00435BE9" w:rsidRPr="00105CB2">
              <w:rPr>
                <w:rFonts w:cstheme="minorHAnsi"/>
                <w:sz w:val="20"/>
                <w:szCs w:val="20"/>
              </w:rPr>
              <w:t>155</w:t>
            </w:r>
            <w:r w:rsidR="007149D6">
              <w:rPr>
                <w:rFonts w:cstheme="minorHAnsi"/>
                <w:sz w:val="20"/>
                <w:szCs w:val="20"/>
              </w:rPr>
              <w:t> </w:t>
            </w:r>
            <w:r w:rsidR="00435BE9" w:rsidRPr="00105CB2">
              <w:rPr>
                <w:rFonts w:cstheme="minorHAnsi"/>
                <w:sz w:val="20"/>
                <w:szCs w:val="20"/>
              </w:rPr>
              <w:t>mil.</w:t>
            </w:r>
            <w:r w:rsidR="007149D6">
              <w:rPr>
                <w:rFonts w:cstheme="minorHAnsi"/>
                <w:sz w:val="20"/>
                <w:szCs w:val="20"/>
              </w:rPr>
              <w:t> </w:t>
            </w:r>
            <w:r w:rsidR="00435BE9" w:rsidRPr="00105CB2">
              <w:rPr>
                <w:rFonts w:cstheme="minorHAnsi"/>
                <w:sz w:val="20"/>
                <w:szCs w:val="20"/>
              </w:rPr>
              <w:t xml:space="preserve">EUR, tj. </w:t>
            </w:r>
            <w:r w:rsidR="002A326C" w:rsidRPr="00105CB2">
              <w:rPr>
                <w:rFonts w:cstheme="minorHAnsi"/>
                <w:sz w:val="20"/>
                <w:szCs w:val="20"/>
              </w:rPr>
              <w:t xml:space="preserve">přibližně </w:t>
            </w:r>
            <w:r w:rsidR="00E02FF0" w:rsidRPr="00105CB2">
              <w:rPr>
                <w:rFonts w:cstheme="minorHAnsi"/>
                <w:sz w:val="20"/>
                <w:szCs w:val="20"/>
              </w:rPr>
              <w:t>5</w:t>
            </w:r>
            <w:r w:rsidR="002A326C" w:rsidRPr="00105CB2">
              <w:rPr>
                <w:rFonts w:cstheme="minorHAnsi"/>
                <w:sz w:val="20"/>
                <w:szCs w:val="20"/>
              </w:rPr>
              <w:t> % z celkového objemu finančních prostředků určených na OPZ.</w:t>
            </w:r>
            <w:r w:rsidR="002A326C" w:rsidRPr="00105CB2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39C3C907" w14:textId="77DB976E" w:rsidR="00576EF8" w:rsidRPr="00105CB2" w:rsidRDefault="00576EF8" w:rsidP="00105CB2">
            <w:pPr>
              <w:ind w:left="130" w:right="280"/>
              <w:rPr>
                <w:rFonts w:cstheme="minorHAnsi"/>
                <w:sz w:val="20"/>
                <w:szCs w:val="20"/>
              </w:rPr>
            </w:pPr>
            <w:r w:rsidRPr="00105CB2">
              <w:rPr>
                <w:rFonts w:cstheme="minorHAnsi"/>
                <w:sz w:val="20"/>
                <w:szCs w:val="20"/>
              </w:rPr>
              <w:t xml:space="preserve">Realizace projektů v rámci výzev č. </w:t>
            </w:r>
            <w:r w:rsidRPr="007149D6">
              <w:rPr>
                <w:rFonts w:cstheme="minorHAnsi"/>
                <w:sz w:val="20"/>
                <w:szCs w:val="20"/>
              </w:rPr>
              <w:t xml:space="preserve">19 „Výzva pro projekty podporující implementaci Strategického rámce rozvoje veřejné správy ČR pro období </w:t>
            </w:r>
            <w:r w:rsidR="007149D6" w:rsidRPr="007149D6">
              <w:rPr>
                <w:rFonts w:cstheme="minorHAnsi"/>
                <w:sz w:val="20"/>
                <w:szCs w:val="20"/>
              </w:rPr>
              <w:t>2014–2020</w:t>
            </w:r>
            <w:r w:rsidRPr="007149D6">
              <w:rPr>
                <w:rFonts w:cstheme="minorHAnsi"/>
                <w:sz w:val="20"/>
                <w:szCs w:val="20"/>
              </w:rPr>
              <w:t>“</w:t>
            </w:r>
            <w:r w:rsidRPr="00105CB2">
              <w:rPr>
                <w:rFonts w:cstheme="minorHAnsi"/>
                <w:sz w:val="20"/>
                <w:szCs w:val="20"/>
              </w:rPr>
              <w:t xml:space="preserve"> a č.</w:t>
            </w:r>
            <w:r w:rsidRPr="00146268">
              <w:rPr>
                <w:rFonts w:cstheme="minorHAnsi"/>
                <w:sz w:val="20"/>
                <w:szCs w:val="20"/>
              </w:rPr>
              <w:t xml:space="preserve"> 25 „Projekty organizačních složek státu zaměřené na podporu efektivní veřejné správy“ </w:t>
            </w:r>
            <w:r w:rsidRPr="00105CB2">
              <w:rPr>
                <w:rFonts w:cstheme="minorHAnsi"/>
                <w:sz w:val="20"/>
                <w:szCs w:val="20"/>
              </w:rPr>
              <w:t>byla i na začátku roku 2022 ovlivněna dlouhodobě trvajícími protiepidemickými opatřeními znemožňující realizaci klíčových aktivit</w:t>
            </w:r>
            <w:r w:rsidR="00146268">
              <w:rPr>
                <w:rFonts w:cstheme="minorHAnsi"/>
                <w:sz w:val="20"/>
                <w:szCs w:val="20"/>
              </w:rPr>
              <w:t>,</w:t>
            </w:r>
            <w:r w:rsidRPr="00105CB2">
              <w:rPr>
                <w:rFonts w:cstheme="minorHAnsi"/>
                <w:sz w:val="20"/>
                <w:szCs w:val="20"/>
              </w:rPr>
              <w:t xml:space="preserve"> např. pořádání kurzů a seminářů v</w:t>
            </w:r>
            <w:r w:rsidR="00146268">
              <w:rPr>
                <w:rFonts w:cstheme="minorHAnsi"/>
                <w:sz w:val="20"/>
                <w:szCs w:val="20"/>
              </w:rPr>
              <w:t> </w:t>
            </w:r>
            <w:r w:rsidRPr="00105CB2">
              <w:rPr>
                <w:rFonts w:cstheme="minorHAnsi"/>
                <w:sz w:val="20"/>
                <w:szCs w:val="20"/>
              </w:rPr>
              <w:t xml:space="preserve">prezenční formě. Z tohoto důvodu byla </w:t>
            </w:r>
            <w:r w:rsidR="00146268" w:rsidRPr="00105CB2">
              <w:rPr>
                <w:rFonts w:cstheme="minorHAnsi"/>
                <w:sz w:val="20"/>
                <w:szCs w:val="20"/>
              </w:rPr>
              <w:t xml:space="preserve">u některých projektů </w:t>
            </w:r>
            <w:r w:rsidRPr="00105CB2">
              <w:rPr>
                <w:rFonts w:cstheme="minorHAnsi"/>
                <w:sz w:val="20"/>
                <w:szCs w:val="20"/>
              </w:rPr>
              <w:t>prodloužena doba realizace. Celkově v realizaci zůstává 14 projektů ve výzvě č. 19 a 25 projektů ve výzvě č. 25.</w:t>
            </w:r>
          </w:p>
          <w:p w14:paraId="2703F75F" w14:textId="613B5273" w:rsidR="00576EF8" w:rsidRPr="00105CB2" w:rsidRDefault="00576EF8" w:rsidP="00105CB2">
            <w:pPr>
              <w:spacing w:after="120"/>
              <w:ind w:left="128" w:right="238"/>
              <w:rPr>
                <w:rFonts w:eastAsia="Arial" w:cstheme="minorHAnsi"/>
                <w:bCs/>
                <w:color w:val="auto"/>
                <w:sz w:val="20"/>
                <w:szCs w:val="20"/>
              </w:rPr>
            </w:pPr>
            <w:bookmarkStart w:id="3" w:name="_Hlk127262171"/>
            <w:r w:rsidRPr="00105CB2">
              <w:rPr>
                <w:rFonts w:eastAsia="Arial" w:cstheme="minorHAnsi"/>
                <w:bCs/>
                <w:color w:val="auto"/>
                <w:sz w:val="20"/>
                <w:szCs w:val="20"/>
              </w:rPr>
              <w:t>Ve výzvách zaměřených na obce, kraje a jejich sdružení pokračovala realizace projektů z výzev vyhlášených v předchozích letech. Vzhledem k pandemickým opatřením se doba realizace projektů často prodloužila do</w:t>
            </w:r>
            <w:r w:rsidR="00146268">
              <w:rPr>
                <w:rFonts w:eastAsia="Arial" w:cstheme="minorHAnsi"/>
                <w:bCs/>
                <w:color w:val="auto"/>
                <w:sz w:val="20"/>
                <w:szCs w:val="20"/>
              </w:rPr>
              <w:t> </w:t>
            </w:r>
            <w:r w:rsidRPr="00105CB2">
              <w:rPr>
                <w:rFonts w:eastAsia="Arial" w:cstheme="minorHAnsi"/>
                <w:bCs/>
                <w:color w:val="auto"/>
                <w:sz w:val="20"/>
                <w:szCs w:val="20"/>
              </w:rPr>
              <w:t xml:space="preserve">roku 2022. Celkem bylo v letech 2016–2020 vyhlášeno </w:t>
            </w:r>
            <w:r w:rsidR="00146268" w:rsidRPr="0074673D">
              <w:rPr>
                <w:rFonts w:eastAsia="Arial" w:cstheme="minorHAnsi"/>
                <w:bCs/>
                <w:color w:val="auto"/>
                <w:sz w:val="20"/>
                <w:szCs w:val="20"/>
              </w:rPr>
              <w:t>deset</w:t>
            </w:r>
            <w:r w:rsidRPr="0074673D">
              <w:rPr>
                <w:rFonts w:eastAsia="Arial" w:cstheme="minorHAnsi"/>
                <w:bCs/>
                <w:color w:val="auto"/>
                <w:sz w:val="20"/>
                <w:szCs w:val="20"/>
              </w:rPr>
              <w:t xml:space="preserve"> výzev</w:t>
            </w:r>
            <w:r w:rsidR="00385D1E">
              <w:rPr>
                <w:rFonts w:eastAsia="Arial" w:cstheme="minorHAnsi"/>
                <w:bCs/>
                <w:color w:val="auto"/>
                <w:sz w:val="20"/>
                <w:szCs w:val="20"/>
              </w:rPr>
              <w:t xml:space="preserve"> tohoto typu</w:t>
            </w:r>
            <w:r w:rsidRPr="00105CB2">
              <w:rPr>
                <w:rFonts w:eastAsia="Arial" w:cstheme="minorHAnsi"/>
                <w:bCs/>
                <w:color w:val="auto"/>
                <w:sz w:val="20"/>
                <w:szCs w:val="20"/>
              </w:rPr>
              <w:t>, podáno 1</w:t>
            </w:r>
            <w:r w:rsidR="00146268">
              <w:rPr>
                <w:rFonts w:eastAsia="Arial" w:cstheme="minorHAnsi"/>
                <w:bCs/>
                <w:color w:val="auto"/>
                <w:sz w:val="20"/>
                <w:szCs w:val="20"/>
              </w:rPr>
              <w:t xml:space="preserve"> </w:t>
            </w:r>
            <w:r w:rsidRPr="00105CB2">
              <w:rPr>
                <w:rFonts w:eastAsia="Arial" w:cstheme="minorHAnsi"/>
                <w:bCs/>
                <w:color w:val="auto"/>
                <w:sz w:val="20"/>
                <w:szCs w:val="20"/>
              </w:rPr>
              <w:t>098 žádostí o podporu, vydáno 493 právních aktů a zasmluvněno 78</w:t>
            </w:r>
            <w:r w:rsidR="00146268">
              <w:rPr>
                <w:rFonts w:eastAsia="Arial" w:cstheme="minorHAnsi"/>
                <w:bCs/>
                <w:color w:val="auto"/>
                <w:sz w:val="20"/>
                <w:szCs w:val="20"/>
              </w:rPr>
              <w:t xml:space="preserve"> mil.</w:t>
            </w:r>
            <w:r w:rsidRPr="00105CB2">
              <w:rPr>
                <w:rFonts w:eastAsia="Arial" w:cstheme="minorHAnsi"/>
                <w:bCs/>
                <w:color w:val="auto"/>
                <w:sz w:val="20"/>
                <w:szCs w:val="20"/>
              </w:rPr>
              <w:t xml:space="preserve"> EUR. Z toho 378 projektů svoji realizaci úspěšně ukončilo a</w:t>
            </w:r>
            <w:r w:rsidR="00146268">
              <w:rPr>
                <w:rFonts w:eastAsia="Arial" w:cstheme="minorHAnsi"/>
                <w:bCs/>
                <w:color w:val="auto"/>
                <w:sz w:val="20"/>
                <w:szCs w:val="20"/>
              </w:rPr>
              <w:t> </w:t>
            </w:r>
            <w:r w:rsidRPr="00105CB2">
              <w:rPr>
                <w:rFonts w:eastAsia="Arial" w:cstheme="minorHAnsi"/>
                <w:bCs/>
                <w:color w:val="auto"/>
                <w:sz w:val="20"/>
                <w:szCs w:val="20"/>
              </w:rPr>
              <w:t>schváleno bylo ve vyúčtovaných výdajích 49</w:t>
            </w:r>
            <w:r w:rsidR="00146268">
              <w:rPr>
                <w:rFonts w:eastAsia="Arial" w:cstheme="minorHAnsi"/>
                <w:bCs/>
                <w:color w:val="auto"/>
                <w:sz w:val="20"/>
                <w:szCs w:val="20"/>
              </w:rPr>
              <w:t xml:space="preserve"> mil.</w:t>
            </w:r>
            <w:r w:rsidRPr="00105CB2">
              <w:rPr>
                <w:rFonts w:eastAsia="Arial" w:cstheme="minorHAnsi"/>
                <w:bCs/>
                <w:color w:val="auto"/>
                <w:sz w:val="20"/>
                <w:szCs w:val="20"/>
              </w:rPr>
              <w:t xml:space="preserve"> EUR, v realizaci zbývá 78 projektů.</w:t>
            </w:r>
          </w:p>
          <w:p w14:paraId="474E6C19" w14:textId="4CCADF85" w:rsidR="00777075" w:rsidRPr="00105CB2" w:rsidRDefault="00576EF8" w:rsidP="00105CB2">
            <w:pPr>
              <w:spacing w:after="120"/>
              <w:ind w:left="136" w:right="238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105CB2">
              <w:rPr>
                <w:rFonts w:eastAsia="Arial" w:cstheme="minorHAnsi"/>
                <w:bCs/>
                <w:color w:val="auto"/>
                <w:sz w:val="20"/>
                <w:szCs w:val="20"/>
              </w:rPr>
              <w:t>Aktivity v projektech se v průběhu programového období proměnily od zaměření na zpracování a aktualizaci strategických dokumentů a pasportizaci k zavádění moderních nástrojů komunikace s veřejností. Konkrétně se jednalo o nákup elektronických úředních desek, portálů občana, webových stránek či mobilních aplikací. Projekty se také zaměřily na velice důležitou oblast energetického managementu a certifikaci dle normy ISO</w:t>
            </w:r>
            <w:r w:rsidR="00146268">
              <w:rPr>
                <w:rFonts w:eastAsia="Arial" w:cstheme="minorHAnsi"/>
                <w:bCs/>
                <w:color w:val="auto"/>
                <w:sz w:val="20"/>
                <w:szCs w:val="20"/>
              </w:rPr>
              <w:t> </w:t>
            </w:r>
            <w:r w:rsidRPr="00105CB2">
              <w:rPr>
                <w:rFonts w:eastAsia="Arial" w:cstheme="minorHAnsi"/>
                <w:bCs/>
                <w:color w:val="auto"/>
                <w:sz w:val="20"/>
                <w:szCs w:val="20"/>
              </w:rPr>
              <w:t>50001.</w:t>
            </w:r>
            <w:r w:rsidRPr="00105CB2">
              <w:rPr>
                <w:rFonts w:cstheme="minorHAnsi"/>
                <w:color w:val="auto"/>
                <w:sz w:val="20"/>
                <w:szCs w:val="20"/>
              </w:rPr>
              <w:t>  </w:t>
            </w:r>
            <w:bookmarkEnd w:id="3"/>
          </w:p>
          <w:p w14:paraId="5C051FB1" w14:textId="77777777" w:rsidR="00777075" w:rsidRPr="00105CB2" w:rsidRDefault="00777075" w:rsidP="00105CB2">
            <w:pPr>
              <w:spacing w:after="120"/>
              <w:ind w:left="136" w:right="238"/>
              <w:rPr>
                <w:rFonts w:cstheme="minorHAnsi"/>
                <w:b/>
                <w:sz w:val="20"/>
                <w:szCs w:val="20"/>
              </w:rPr>
            </w:pPr>
          </w:p>
          <w:p w14:paraId="7AA500F2" w14:textId="77777777" w:rsidR="00777075" w:rsidRPr="00105CB2" w:rsidRDefault="00777075" w:rsidP="00105CB2">
            <w:pPr>
              <w:spacing w:after="120"/>
              <w:ind w:left="136" w:right="238"/>
              <w:rPr>
                <w:rFonts w:cstheme="minorHAnsi"/>
                <w:b/>
                <w:sz w:val="20"/>
                <w:szCs w:val="20"/>
              </w:rPr>
            </w:pPr>
          </w:p>
          <w:p w14:paraId="64E48F60" w14:textId="77777777" w:rsidR="00777075" w:rsidRPr="00105CB2" w:rsidRDefault="00777075" w:rsidP="00105CB2">
            <w:pPr>
              <w:spacing w:after="120"/>
              <w:ind w:left="136" w:right="238"/>
              <w:rPr>
                <w:rFonts w:cstheme="minorHAnsi"/>
                <w:b/>
                <w:sz w:val="20"/>
                <w:szCs w:val="20"/>
              </w:rPr>
            </w:pPr>
          </w:p>
          <w:p w14:paraId="281E4D12" w14:textId="77777777" w:rsidR="00777075" w:rsidRPr="00105CB2" w:rsidRDefault="00777075" w:rsidP="00105CB2">
            <w:pPr>
              <w:spacing w:after="120"/>
              <w:ind w:left="136" w:right="238"/>
              <w:rPr>
                <w:rFonts w:cstheme="minorHAnsi"/>
                <w:b/>
                <w:sz w:val="20"/>
                <w:szCs w:val="20"/>
              </w:rPr>
            </w:pPr>
          </w:p>
          <w:p w14:paraId="10468AC0" w14:textId="77777777" w:rsidR="00777075" w:rsidRPr="00105CB2" w:rsidRDefault="00777075" w:rsidP="00105CB2">
            <w:pPr>
              <w:spacing w:after="120"/>
              <w:ind w:left="136" w:right="238"/>
              <w:rPr>
                <w:rFonts w:cstheme="minorHAnsi"/>
                <w:b/>
                <w:sz w:val="20"/>
                <w:szCs w:val="20"/>
              </w:rPr>
            </w:pPr>
          </w:p>
          <w:p w14:paraId="72807051" w14:textId="77777777" w:rsidR="00777075" w:rsidRPr="00105CB2" w:rsidRDefault="00777075" w:rsidP="00105CB2">
            <w:pPr>
              <w:spacing w:after="120"/>
              <w:ind w:left="136" w:right="238"/>
              <w:rPr>
                <w:rFonts w:cstheme="minorHAnsi"/>
                <w:b/>
                <w:sz w:val="20"/>
                <w:szCs w:val="20"/>
              </w:rPr>
            </w:pPr>
          </w:p>
          <w:p w14:paraId="76E6E5E8" w14:textId="77777777" w:rsidR="00777075" w:rsidRPr="00105CB2" w:rsidRDefault="00777075" w:rsidP="00105CB2">
            <w:pPr>
              <w:spacing w:after="120"/>
              <w:ind w:left="136" w:right="238"/>
              <w:rPr>
                <w:rFonts w:cstheme="minorHAnsi"/>
                <w:b/>
                <w:sz w:val="20"/>
                <w:szCs w:val="20"/>
              </w:rPr>
            </w:pPr>
          </w:p>
          <w:p w14:paraId="3E2EDBC4" w14:textId="77777777" w:rsidR="00777075" w:rsidRPr="00105CB2" w:rsidRDefault="00777075" w:rsidP="00105CB2">
            <w:pPr>
              <w:spacing w:after="120"/>
              <w:ind w:left="136" w:right="238"/>
              <w:rPr>
                <w:rFonts w:cstheme="minorHAnsi"/>
                <w:b/>
                <w:sz w:val="20"/>
                <w:szCs w:val="20"/>
              </w:rPr>
            </w:pPr>
          </w:p>
          <w:p w14:paraId="1A4F10C0" w14:textId="46068906" w:rsidR="00777075" w:rsidRPr="00105CB2" w:rsidRDefault="00777075" w:rsidP="00105CB2">
            <w:pPr>
              <w:spacing w:after="120"/>
              <w:ind w:right="238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A326C" w:rsidRPr="00096506" w14:paraId="1A4F10D2" w14:textId="77777777" w:rsidTr="00BA75D4">
        <w:trPr>
          <w:trHeight w:val="216"/>
        </w:trPr>
        <w:tc>
          <w:tcPr>
            <w:tcW w:w="1378" w:type="dxa"/>
            <w:vAlign w:val="center"/>
          </w:tcPr>
          <w:p w14:paraId="1A4F10C2" w14:textId="77777777" w:rsidR="002A326C" w:rsidRPr="00096506" w:rsidRDefault="002A326C" w:rsidP="002A326C">
            <w:pPr>
              <w:ind w:left="181"/>
              <w:rPr>
                <w:rFonts w:ascii="Arial" w:hAnsi="Arial" w:cs="Arial"/>
                <w:sz w:val="20"/>
                <w:szCs w:val="20"/>
              </w:rPr>
            </w:pPr>
            <w:r w:rsidRPr="00096506">
              <w:rPr>
                <w:rFonts w:ascii="Arial" w:hAnsi="Arial" w:cs="Arial"/>
                <w:sz w:val="20"/>
                <w:szCs w:val="20"/>
              </w:rPr>
              <w:lastRenderedPageBreak/>
              <w:t>3.5</w:t>
            </w:r>
          </w:p>
        </w:tc>
        <w:tc>
          <w:tcPr>
            <w:tcW w:w="2478" w:type="dxa"/>
            <w:vAlign w:val="center"/>
          </w:tcPr>
          <w:p w14:paraId="1A4F10C3" w14:textId="77777777" w:rsidR="002A326C" w:rsidRPr="00096506" w:rsidRDefault="002A326C" w:rsidP="002A326C">
            <w:pPr>
              <w:ind w:left="79" w:right="103"/>
              <w:rPr>
                <w:rFonts w:ascii="Arial" w:hAnsi="Arial" w:cs="Arial"/>
                <w:sz w:val="20"/>
                <w:szCs w:val="20"/>
              </w:rPr>
            </w:pPr>
            <w:r w:rsidRPr="00096506">
              <w:rPr>
                <w:rFonts w:ascii="Arial" w:hAnsi="Arial" w:cs="Arial"/>
                <w:sz w:val="20"/>
                <w:szCs w:val="20"/>
              </w:rPr>
              <w:t>Technická pomoc</w:t>
            </w:r>
          </w:p>
        </w:tc>
        <w:tc>
          <w:tcPr>
            <w:tcW w:w="10065" w:type="dxa"/>
            <w:vAlign w:val="center"/>
          </w:tcPr>
          <w:p w14:paraId="00FB4F36" w14:textId="77777777" w:rsidR="00893A58" w:rsidRPr="00105CB2" w:rsidRDefault="00BB3DF7" w:rsidP="00397699">
            <w:pPr>
              <w:spacing w:after="120"/>
              <w:ind w:right="238"/>
              <w:rPr>
                <w:rFonts w:eastAsia="Arial" w:cstheme="minorHAnsi"/>
                <w:sz w:val="20"/>
                <w:szCs w:val="20"/>
              </w:rPr>
            </w:pPr>
            <w:r w:rsidRPr="00105CB2">
              <w:rPr>
                <w:rFonts w:eastAsia="Arial" w:cstheme="minorHAnsi"/>
                <w:b/>
                <w:sz w:val="20"/>
                <w:szCs w:val="20"/>
              </w:rPr>
              <w:t xml:space="preserve">Prioritní osa 5 „Technická pomoc“ (PO5): </w:t>
            </w:r>
            <w:r w:rsidRPr="00105CB2">
              <w:rPr>
                <w:rFonts w:eastAsia="Arial" w:cstheme="minorHAnsi"/>
                <w:sz w:val="20"/>
                <w:szCs w:val="20"/>
              </w:rPr>
              <w:t>Poskytování technické pomoci je v souladu s článkem 59 obecného nařízení zaměřeno na podporu řízení a implementace OPZ a představuje 113 mil. EUR, tj. 4 % z celkového finančního objemu OPZ.</w:t>
            </w:r>
          </w:p>
          <w:p w14:paraId="23114508" w14:textId="28B2D8B3" w:rsidR="00A143B7" w:rsidRPr="00105CB2" w:rsidRDefault="00A143B7" w:rsidP="00105CB2">
            <w:pPr>
              <w:spacing w:after="120"/>
              <w:ind w:left="136" w:right="238"/>
              <w:rPr>
                <w:rFonts w:eastAsia="Arial" w:cstheme="minorHAnsi"/>
                <w:sz w:val="20"/>
                <w:szCs w:val="20"/>
              </w:rPr>
            </w:pPr>
            <w:r w:rsidRPr="00105CB2">
              <w:rPr>
                <w:rFonts w:eastAsia="Arial" w:cstheme="minorHAnsi"/>
                <w:sz w:val="20"/>
                <w:szCs w:val="20"/>
              </w:rPr>
              <w:t xml:space="preserve">Poskytování technické pomoci je v souladu s článkem 59 obecného nařízení zaměřeno na podporu řízení a implementace OPZ a představuje 113 mil. EUR, tj. 4 % z celkového finančního objemu OPZ. </w:t>
            </w:r>
          </w:p>
          <w:p w14:paraId="6891FC07" w14:textId="0EBF0E2E" w:rsidR="00A143B7" w:rsidRPr="00713482" w:rsidRDefault="00A143B7" w:rsidP="00105CB2">
            <w:pPr>
              <w:spacing w:after="120"/>
              <w:ind w:left="136" w:right="238"/>
              <w:rPr>
                <w:rFonts w:eastAsia="Arial" w:cstheme="minorHAnsi"/>
                <w:sz w:val="20"/>
                <w:szCs w:val="20"/>
              </w:rPr>
            </w:pPr>
            <w:r w:rsidRPr="00105CB2">
              <w:rPr>
                <w:rFonts w:eastAsia="Arial" w:cstheme="minorHAnsi"/>
                <w:sz w:val="20"/>
                <w:szCs w:val="20"/>
              </w:rPr>
              <w:t xml:space="preserve">I v roce 2022 pokračovala realizace </w:t>
            </w:r>
            <w:r w:rsidR="00146268">
              <w:rPr>
                <w:rFonts w:eastAsia="Arial" w:cstheme="minorHAnsi"/>
                <w:sz w:val="20"/>
                <w:szCs w:val="20"/>
              </w:rPr>
              <w:t>šesti</w:t>
            </w:r>
            <w:r w:rsidRPr="00105CB2">
              <w:rPr>
                <w:rFonts w:eastAsia="Arial" w:cstheme="minorHAnsi"/>
                <w:sz w:val="20"/>
                <w:szCs w:val="20"/>
              </w:rPr>
              <w:t xml:space="preserve"> projektů TP OPZ, schválených v roce 2016, v celkovém navýšeném objemu 113 mil. EUR. Navýšení alokace PO5 proběhlo už v roce 2020 díky převodu finančních prostředků z OP PIK do OPZ. Přidělená částka na PO5 byla alokována v rámci průběžné výzvy č. </w:t>
            </w:r>
            <w:r w:rsidRPr="00713482">
              <w:rPr>
                <w:rFonts w:eastAsia="Arial" w:cstheme="minorHAnsi"/>
                <w:sz w:val="20"/>
                <w:szCs w:val="20"/>
              </w:rPr>
              <w:t>12 „Projekty technické pomoci“ a v roce 2022 nebyl předložen žádný nový projekt.</w:t>
            </w:r>
          </w:p>
          <w:p w14:paraId="437E7441" w14:textId="77777777" w:rsidR="00A143B7" w:rsidRPr="00105CB2" w:rsidRDefault="00A143B7" w:rsidP="00105CB2">
            <w:pPr>
              <w:spacing w:after="120"/>
              <w:ind w:left="136" w:right="238"/>
              <w:rPr>
                <w:rFonts w:eastAsia="Arial" w:cstheme="minorHAnsi"/>
                <w:sz w:val="20"/>
                <w:szCs w:val="20"/>
              </w:rPr>
            </w:pPr>
            <w:r w:rsidRPr="00105CB2">
              <w:rPr>
                <w:rFonts w:eastAsia="Arial" w:cstheme="minorHAnsi"/>
                <w:sz w:val="20"/>
                <w:szCs w:val="20"/>
              </w:rPr>
              <w:t>Realizované projekty jsou zaměřeny především na tyto aktivity: úhradu osobních nákladů zaměstnanců, kteří realizují úkoly spojené s implementací OPZ; zajištění věcného hodnocení a výběr projektů OPZ; organizační zajištění monitorovacích výborů OPZ, financování provozních nákladů spojených s implementací OPZ; zajištění odborného rozvoje zaměstnanců řídicího orgánu OPZ; financování publicitních a komunikačních aktivit; zpracování evaluací, analýz a odborných studií pro OPZ.</w:t>
            </w:r>
          </w:p>
          <w:p w14:paraId="462ADE7D" w14:textId="77777777" w:rsidR="00777075" w:rsidRPr="00105CB2" w:rsidRDefault="00777075" w:rsidP="00105CB2">
            <w:pPr>
              <w:spacing w:after="120"/>
              <w:ind w:left="136" w:right="238"/>
              <w:rPr>
                <w:rFonts w:eastAsia="Arial" w:cstheme="minorHAnsi"/>
                <w:sz w:val="20"/>
                <w:szCs w:val="20"/>
              </w:rPr>
            </w:pPr>
          </w:p>
          <w:p w14:paraId="0536182F" w14:textId="77777777" w:rsidR="00777075" w:rsidRPr="00105CB2" w:rsidRDefault="00777075" w:rsidP="00105CB2">
            <w:pPr>
              <w:spacing w:after="120"/>
              <w:ind w:left="136" w:right="238"/>
              <w:rPr>
                <w:rFonts w:eastAsia="Arial" w:cstheme="minorHAnsi"/>
                <w:sz w:val="20"/>
                <w:szCs w:val="20"/>
              </w:rPr>
            </w:pPr>
          </w:p>
          <w:p w14:paraId="1A4F10D1" w14:textId="12DB27A4" w:rsidR="00777075" w:rsidRPr="00105CB2" w:rsidRDefault="00777075" w:rsidP="00105CB2">
            <w:pPr>
              <w:spacing w:after="120"/>
              <w:ind w:right="238"/>
              <w:rPr>
                <w:rFonts w:eastAsia="Arial" w:cstheme="minorHAnsi"/>
                <w:sz w:val="20"/>
                <w:szCs w:val="20"/>
              </w:rPr>
            </w:pPr>
          </w:p>
        </w:tc>
      </w:tr>
    </w:tbl>
    <w:p w14:paraId="1A4F10D3" w14:textId="6266C54E" w:rsidR="00F16783" w:rsidRPr="00830A79" w:rsidRDefault="00F16783" w:rsidP="001A568F"/>
    <w:sectPr w:rsidR="00F16783" w:rsidRPr="00830A79" w:rsidSect="002A326C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1418" w:right="1418" w:bottom="1418" w:left="1418" w:header="567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F10D6" w14:textId="77777777" w:rsidR="00043098" w:rsidRDefault="00043098" w:rsidP="00744469">
      <w:pPr>
        <w:spacing w:after="0"/>
      </w:pPr>
      <w:r>
        <w:separator/>
      </w:r>
    </w:p>
  </w:endnote>
  <w:endnote w:type="continuationSeparator" w:id="0">
    <w:p w14:paraId="1A4F10D7" w14:textId="77777777" w:rsidR="00043098" w:rsidRDefault="00043098" w:rsidP="007444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69"/>
      <w:gridCol w:w="4668"/>
      <w:gridCol w:w="4665"/>
    </w:tblGrid>
    <w:tr w:rsidR="00043098" w14:paraId="1A4F10DB" w14:textId="77777777" w:rsidTr="00830A79">
      <w:tc>
        <w:tcPr>
          <w:tcW w:w="5000" w:type="pct"/>
          <w:gridSpan w:val="3"/>
          <w:shd w:val="clear" w:color="auto" w:fill="auto"/>
          <w:vAlign w:val="center"/>
        </w:tcPr>
        <w:p w14:paraId="1A4F10DA" w14:textId="77777777" w:rsidR="00043098" w:rsidRDefault="00043098" w:rsidP="00F543E8">
          <w:pPr>
            <w:pStyle w:val="Tabulkazhlav"/>
          </w:pPr>
        </w:p>
      </w:tc>
    </w:tr>
    <w:tr w:rsidR="00043098" w14:paraId="1A4F10DF" w14:textId="77777777" w:rsidTr="00830A79">
      <w:tc>
        <w:tcPr>
          <w:tcW w:w="1667" w:type="pct"/>
          <w:shd w:val="clear" w:color="auto" w:fill="auto"/>
          <w:vAlign w:val="center"/>
        </w:tcPr>
        <w:p w14:paraId="1A4F10DC" w14:textId="77777777" w:rsidR="00043098" w:rsidRDefault="00043098" w:rsidP="00E073EC">
          <w:pPr>
            <w:pStyle w:val="Tabulkatext"/>
          </w:pPr>
        </w:p>
      </w:tc>
      <w:tc>
        <w:tcPr>
          <w:tcW w:w="1667" w:type="pct"/>
          <w:shd w:val="clear" w:color="auto" w:fill="auto"/>
          <w:vAlign w:val="center"/>
        </w:tcPr>
        <w:p w14:paraId="1A4F10DD" w14:textId="19F8C55B" w:rsidR="00043098" w:rsidRDefault="003A7C65" w:rsidP="00F16783">
          <w:pPr>
            <w:pStyle w:val="Tabulkatext"/>
            <w:ind w:left="0"/>
          </w:pPr>
          <w:r>
            <w:t>Příloha č. 1 VZ OPZ za rok 20</w:t>
          </w:r>
          <w:r w:rsidR="00EB4254">
            <w:t>2</w:t>
          </w:r>
          <w:r w:rsidR="00777075">
            <w:t>2</w:t>
          </w:r>
        </w:p>
      </w:tc>
      <w:tc>
        <w:tcPr>
          <w:tcW w:w="1667" w:type="pct"/>
          <w:shd w:val="clear" w:color="auto" w:fill="auto"/>
          <w:vAlign w:val="center"/>
        </w:tcPr>
        <w:p w14:paraId="1A4F10DE" w14:textId="1DE71670" w:rsidR="00043098" w:rsidRDefault="00043098" w:rsidP="00E073EC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A4739">
            <w:rPr>
              <w:noProof/>
            </w:rPr>
            <w:t>2</w:t>
          </w:r>
          <w:r>
            <w:fldChar w:fldCharType="end"/>
          </w:r>
          <w:r>
            <w:t xml:space="preserve"> z </w:t>
          </w:r>
          <w:r w:rsidR="00906542">
            <w:rPr>
              <w:noProof/>
            </w:rPr>
            <w:fldChar w:fldCharType="begin"/>
          </w:r>
          <w:r w:rsidR="00906542">
            <w:rPr>
              <w:noProof/>
            </w:rPr>
            <w:instrText xml:space="preserve"> NUMPAGES   \* MERGEFORMAT </w:instrText>
          </w:r>
          <w:r w:rsidR="00906542">
            <w:rPr>
              <w:noProof/>
            </w:rPr>
            <w:fldChar w:fldCharType="separate"/>
          </w:r>
          <w:r w:rsidR="001A4739">
            <w:rPr>
              <w:noProof/>
            </w:rPr>
            <w:t>8</w:t>
          </w:r>
          <w:r w:rsidR="00906542">
            <w:rPr>
              <w:noProof/>
            </w:rPr>
            <w:fldChar w:fldCharType="end"/>
          </w:r>
        </w:p>
      </w:tc>
    </w:tr>
  </w:tbl>
  <w:p w14:paraId="1A4F10E0" w14:textId="77777777" w:rsidR="00043098" w:rsidRDefault="0004309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69"/>
      <w:gridCol w:w="4668"/>
      <w:gridCol w:w="4665"/>
    </w:tblGrid>
    <w:tr w:rsidR="00043098" w:rsidRPr="007B628A" w14:paraId="1A4F10E4" w14:textId="77777777" w:rsidTr="00A34F9E">
      <w:tc>
        <w:tcPr>
          <w:tcW w:w="5000" w:type="pct"/>
          <w:gridSpan w:val="3"/>
          <w:shd w:val="clear" w:color="auto" w:fill="auto"/>
          <w:vAlign w:val="center"/>
        </w:tcPr>
        <w:p w14:paraId="1A4F10E3" w14:textId="77777777" w:rsidR="00043098" w:rsidRPr="00A34F9E" w:rsidRDefault="00043098" w:rsidP="00A34F9E">
          <w:pPr>
            <w:pStyle w:val="Tabulkazhlav"/>
            <w:rPr>
              <w:b w:val="0"/>
            </w:rPr>
          </w:pPr>
        </w:p>
      </w:tc>
    </w:tr>
    <w:tr w:rsidR="00043098" w14:paraId="1A4F10E8" w14:textId="77777777" w:rsidTr="00A34F9E">
      <w:tc>
        <w:tcPr>
          <w:tcW w:w="1667" w:type="pct"/>
          <w:shd w:val="clear" w:color="auto" w:fill="auto"/>
          <w:vAlign w:val="center"/>
        </w:tcPr>
        <w:p w14:paraId="1A4F10E5" w14:textId="77777777" w:rsidR="00043098" w:rsidRDefault="00043098" w:rsidP="00043098">
          <w:pPr>
            <w:pStyle w:val="Tabulkatext"/>
          </w:pPr>
        </w:p>
      </w:tc>
      <w:tc>
        <w:tcPr>
          <w:tcW w:w="1667" w:type="pct"/>
          <w:shd w:val="clear" w:color="auto" w:fill="auto"/>
          <w:vAlign w:val="center"/>
        </w:tcPr>
        <w:p w14:paraId="1A4F10E6" w14:textId="77777777" w:rsidR="00043098" w:rsidRDefault="00043098" w:rsidP="00043098">
          <w:pPr>
            <w:pStyle w:val="Tabulkatext"/>
            <w:jc w:val="center"/>
          </w:pPr>
        </w:p>
      </w:tc>
      <w:tc>
        <w:tcPr>
          <w:tcW w:w="1666" w:type="pct"/>
          <w:shd w:val="clear" w:color="auto" w:fill="auto"/>
          <w:vAlign w:val="center"/>
        </w:tcPr>
        <w:p w14:paraId="1A4F10E7" w14:textId="77777777" w:rsidR="00043098" w:rsidRDefault="00043098" w:rsidP="00043098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z </w:t>
          </w:r>
          <w:r w:rsidR="00906542">
            <w:rPr>
              <w:noProof/>
            </w:rPr>
            <w:fldChar w:fldCharType="begin"/>
          </w:r>
          <w:r w:rsidR="00906542">
            <w:rPr>
              <w:noProof/>
            </w:rPr>
            <w:instrText xml:space="preserve"> NUMPAGES   \* MERGEFORMAT </w:instrText>
          </w:r>
          <w:r w:rsidR="00906542">
            <w:rPr>
              <w:noProof/>
            </w:rPr>
            <w:fldChar w:fldCharType="separate"/>
          </w:r>
          <w:r>
            <w:rPr>
              <w:noProof/>
            </w:rPr>
            <w:t>11</w:t>
          </w:r>
          <w:r w:rsidR="00906542">
            <w:rPr>
              <w:noProof/>
            </w:rPr>
            <w:fldChar w:fldCharType="end"/>
          </w:r>
        </w:p>
      </w:tc>
    </w:tr>
  </w:tbl>
  <w:p w14:paraId="1A4F10E9" w14:textId="77777777" w:rsidR="00043098" w:rsidRDefault="0004309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F10D4" w14:textId="77777777" w:rsidR="00043098" w:rsidRDefault="00043098" w:rsidP="00744469">
      <w:pPr>
        <w:spacing w:after="0"/>
      </w:pPr>
      <w:r>
        <w:separator/>
      </w:r>
    </w:p>
  </w:footnote>
  <w:footnote w:type="continuationSeparator" w:id="0">
    <w:p w14:paraId="1A4F10D5" w14:textId="77777777" w:rsidR="00043098" w:rsidRDefault="00043098" w:rsidP="0074446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F10D8" w14:textId="77777777" w:rsidR="00043098" w:rsidRDefault="00043098">
    <w:pPr>
      <w:pStyle w:val="Zhlav"/>
    </w:pPr>
    <w:r>
      <w:rPr>
        <w:noProof/>
        <w:lang w:eastAsia="cs-CZ"/>
      </w:rPr>
      <w:drawing>
        <wp:inline distT="0" distB="0" distL="0" distR="0" wp14:anchorId="1A4F10EA" wp14:editId="1A4F10EB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4F10D9" w14:textId="77777777" w:rsidR="00043098" w:rsidRDefault="0004309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F10E1" w14:textId="77777777" w:rsidR="00043098" w:rsidRDefault="00043098">
    <w:pPr>
      <w:pStyle w:val="Zhlav"/>
    </w:pPr>
    <w:r>
      <w:rPr>
        <w:noProof/>
        <w:lang w:eastAsia="cs-CZ"/>
      </w:rPr>
      <w:drawing>
        <wp:inline distT="0" distB="0" distL="0" distR="0" wp14:anchorId="1A4F10EC" wp14:editId="1A4F10ED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4F10E2" w14:textId="77777777" w:rsidR="00043098" w:rsidRDefault="0004309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7.55pt;height:7.55pt" o:bullet="t">
        <v:imagedata r:id="rId1" o:title="ul"/>
      </v:shape>
    </w:pict>
  </w:numPicBullet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A2C6E2D"/>
    <w:multiLevelType w:val="hybridMultilevel"/>
    <w:tmpl w:val="F0FA33DC"/>
    <w:lvl w:ilvl="0" w:tplc="0405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 w15:restartNumberingAfterBreak="0">
    <w:nsid w:val="0BF27CB5"/>
    <w:multiLevelType w:val="multilevel"/>
    <w:tmpl w:val="500ADE1C"/>
    <w:lvl w:ilvl="0">
      <w:start w:val="1"/>
      <w:numFmt w:val="bullet"/>
      <w:pStyle w:val="Odrky1"/>
      <w:lvlText w:val=""/>
      <w:lvlJc w:val="left"/>
      <w:pPr>
        <w:tabs>
          <w:tab w:val="num" w:pos="397"/>
        </w:tabs>
        <w:ind w:left="397" w:hanging="397"/>
      </w:pPr>
      <w:rPr>
        <w:rFonts w:ascii="Wingdings 2" w:hAnsi="Wingdings 2" w:hint="default"/>
        <w:color w:val="505050" w:themeColor="accent1"/>
        <w:sz w:val="22"/>
        <w:szCs w:val="22"/>
      </w:rPr>
    </w:lvl>
    <w:lvl w:ilvl="1">
      <w:start w:val="1"/>
      <w:numFmt w:val="bullet"/>
      <w:pStyle w:val="Odrky2"/>
      <w:lvlText w:val=""/>
      <w:lvlJc w:val="left"/>
      <w:pPr>
        <w:tabs>
          <w:tab w:val="num" w:pos="794"/>
        </w:tabs>
        <w:ind w:left="794" w:hanging="397"/>
      </w:pPr>
      <w:rPr>
        <w:rFonts w:ascii="Wingdings 2" w:hAnsi="Wingdings 2" w:hint="default"/>
        <w:color w:val="505050" w:themeColor="accent1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191"/>
        </w:tabs>
        <w:ind w:left="1191" w:hanging="397"/>
      </w:pPr>
      <w:rPr>
        <w:rFonts w:ascii="Wingdings 2" w:hAnsi="Wingdings 2" w:hint="default"/>
        <w:color w:val="505050" w:themeColor="accent1"/>
      </w:rPr>
    </w:lvl>
    <w:lvl w:ilvl="3">
      <w:start w:val="1"/>
      <w:numFmt w:val="bullet"/>
      <w:pStyle w:val="Odrky4"/>
      <w:lvlText w:val=""/>
      <w:lvlJc w:val="left"/>
      <w:pPr>
        <w:tabs>
          <w:tab w:val="num" w:pos="1588"/>
        </w:tabs>
        <w:ind w:left="1588" w:hanging="397"/>
      </w:pPr>
      <w:rPr>
        <w:rFonts w:ascii="Wingdings 2" w:hAnsi="Wingdings 2" w:hint="default"/>
        <w:color w:val="505050" w:themeColor="accent1"/>
      </w:rPr>
    </w:lvl>
    <w:lvl w:ilvl="4">
      <w:start w:val="1"/>
      <w:numFmt w:val="bullet"/>
      <w:pStyle w:val="Odrky5"/>
      <w:lvlText w:val=""/>
      <w:lvlJc w:val="left"/>
      <w:pPr>
        <w:tabs>
          <w:tab w:val="num" w:pos="1985"/>
        </w:tabs>
        <w:ind w:left="1985" w:hanging="397"/>
      </w:pPr>
      <w:rPr>
        <w:rFonts w:ascii="Wingdings 2" w:hAnsi="Wingdings 2" w:hint="default"/>
        <w:color w:val="505050" w:themeColor="accent1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64DAD"/>
    <w:multiLevelType w:val="hybridMultilevel"/>
    <w:tmpl w:val="68A283DE"/>
    <w:lvl w:ilvl="0" w:tplc="45089C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FA3AF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5C42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9A899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564EE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DEF00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5CB78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3ACAC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23065D3"/>
    <w:multiLevelType w:val="hybridMultilevel"/>
    <w:tmpl w:val="ABA08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769B3"/>
    <w:multiLevelType w:val="hybridMultilevel"/>
    <w:tmpl w:val="A6603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17D25"/>
    <w:multiLevelType w:val="hybridMultilevel"/>
    <w:tmpl w:val="8892F072"/>
    <w:lvl w:ilvl="0" w:tplc="040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7" w15:restartNumberingAfterBreak="0">
    <w:nsid w:val="29554D5B"/>
    <w:multiLevelType w:val="multilevel"/>
    <w:tmpl w:val="D384F8A8"/>
    <w:lvl w:ilvl="0">
      <w:start w:val="1"/>
      <w:numFmt w:val="decimal"/>
      <w:lvlText w:val="%1."/>
      <w:lvlJc w:val="left"/>
      <w:pPr>
        <w:ind w:left="468" w:hanging="360"/>
      </w:pPr>
      <w:rPr>
        <w:rFonts w:ascii="Calibri" w:eastAsia="Calibri" w:hAnsi="Calibri" w:cs="Calibri" w:hint="default"/>
        <w:color w:val="000000"/>
        <w:sz w:val="24"/>
      </w:rPr>
    </w:lvl>
    <w:lvl w:ilvl="1">
      <w:start w:val="1"/>
      <w:numFmt w:val="decimal"/>
      <w:lvlText w:val="3.%2"/>
      <w:lvlJc w:val="left"/>
      <w:pPr>
        <w:ind w:left="558" w:hanging="450"/>
      </w:pPr>
      <w:rPr>
        <w:rFonts w:ascii="Calibri" w:eastAsia="Calibri" w:hAnsi="Calibri" w:cs="Calibri" w:hint="default"/>
        <w:color w:val="000000"/>
        <w:sz w:val="24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Calibri" w:eastAsia="Calibri" w:hAnsi="Calibri" w:cs="Calibri"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828" w:hanging="720"/>
      </w:pPr>
      <w:rPr>
        <w:rFonts w:ascii="Calibri" w:eastAsia="Calibri" w:hAnsi="Calibri" w:cs="Calibri"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1188" w:hanging="1080"/>
      </w:pPr>
      <w:rPr>
        <w:rFonts w:ascii="Calibri" w:eastAsia="Calibri" w:hAnsi="Calibri" w:cs="Calibri"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88" w:hanging="1080"/>
      </w:pPr>
      <w:rPr>
        <w:rFonts w:ascii="Calibri" w:eastAsia="Calibri" w:hAnsi="Calibri" w:cs="Calibri"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1548" w:hanging="1440"/>
      </w:pPr>
      <w:rPr>
        <w:rFonts w:ascii="Calibri" w:eastAsia="Calibri" w:hAnsi="Calibri" w:cs="Calibri"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1548" w:hanging="1440"/>
      </w:pPr>
      <w:rPr>
        <w:rFonts w:ascii="Calibri" w:eastAsia="Calibri" w:hAnsi="Calibri" w:cs="Calibri"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1908" w:hanging="1800"/>
      </w:pPr>
      <w:rPr>
        <w:rFonts w:ascii="Calibri" w:eastAsia="Calibri" w:hAnsi="Calibri" w:cs="Calibri" w:hint="default"/>
        <w:color w:val="000000"/>
        <w:sz w:val="24"/>
      </w:rPr>
    </w:lvl>
  </w:abstractNum>
  <w:abstractNum w:abstractNumId="8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E871BD9"/>
    <w:multiLevelType w:val="multilevel"/>
    <w:tmpl w:val="732E4906"/>
    <w:lvl w:ilvl="0">
      <w:start w:val="1"/>
      <w:numFmt w:val="decimal"/>
      <w:pStyle w:val="slovn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slovn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slovn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pStyle w:val="slovn4"/>
      <w:lvlText w:val="%4)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pStyle w:val="slovn5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0AD1F5A"/>
    <w:multiLevelType w:val="hybridMultilevel"/>
    <w:tmpl w:val="B49EA588"/>
    <w:lvl w:ilvl="0" w:tplc="040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1" w15:restartNumberingAfterBreak="0">
    <w:nsid w:val="31FA0B22"/>
    <w:multiLevelType w:val="hybridMultilevel"/>
    <w:tmpl w:val="AD94B7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A3350"/>
    <w:multiLevelType w:val="hybridMultilevel"/>
    <w:tmpl w:val="D29E717E"/>
    <w:lvl w:ilvl="0" w:tplc="DC5C2FA2">
      <w:start w:val="1"/>
      <w:numFmt w:val="decimal"/>
      <w:pStyle w:val="Pouitzdroje"/>
      <w:lvlText w:val="[%1]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572F0"/>
    <w:multiLevelType w:val="hybridMultilevel"/>
    <w:tmpl w:val="88DE3E08"/>
    <w:lvl w:ilvl="0" w:tplc="0405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4" w15:restartNumberingAfterBreak="0">
    <w:nsid w:val="419B1710"/>
    <w:multiLevelType w:val="multilevel"/>
    <w:tmpl w:val="8868724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505050" w:themeColor="accent1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505050" w:themeColor="accent1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697A7F"/>
    <w:multiLevelType w:val="hybridMultilevel"/>
    <w:tmpl w:val="A6F46C38"/>
    <w:lvl w:ilvl="0" w:tplc="D5827C6C">
      <w:start w:val="1"/>
      <w:numFmt w:val="decimal"/>
      <w:lvlText w:val="%1)"/>
      <w:lvlJc w:val="left"/>
      <w:pPr>
        <w:ind w:left="495" w:hanging="360"/>
      </w:pPr>
    </w:lvl>
    <w:lvl w:ilvl="1" w:tplc="04050019">
      <w:start w:val="1"/>
      <w:numFmt w:val="lowerLetter"/>
      <w:lvlText w:val="%2."/>
      <w:lvlJc w:val="left"/>
      <w:pPr>
        <w:ind w:left="1215" w:hanging="360"/>
      </w:pPr>
    </w:lvl>
    <w:lvl w:ilvl="2" w:tplc="0405001B">
      <w:start w:val="1"/>
      <w:numFmt w:val="lowerRoman"/>
      <w:lvlText w:val="%3."/>
      <w:lvlJc w:val="right"/>
      <w:pPr>
        <w:ind w:left="1935" w:hanging="180"/>
      </w:pPr>
    </w:lvl>
    <w:lvl w:ilvl="3" w:tplc="0405000F">
      <w:start w:val="1"/>
      <w:numFmt w:val="decimal"/>
      <w:lvlText w:val="%4."/>
      <w:lvlJc w:val="left"/>
      <w:pPr>
        <w:ind w:left="2655" w:hanging="360"/>
      </w:pPr>
    </w:lvl>
    <w:lvl w:ilvl="4" w:tplc="04050019">
      <w:start w:val="1"/>
      <w:numFmt w:val="lowerLetter"/>
      <w:lvlText w:val="%5."/>
      <w:lvlJc w:val="left"/>
      <w:pPr>
        <w:ind w:left="3375" w:hanging="360"/>
      </w:pPr>
    </w:lvl>
    <w:lvl w:ilvl="5" w:tplc="0405001B">
      <w:start w:val="1"/>
      <w:numFmt w:val="lowerRoman"/>
      <w:lvlText w:val="%6."/>
      <w:lvlJc w:val="right"/>
      <w:pPr>
        <w:ind w:left="4095" w:hanging="180"/>
      </w:pPr>
    </w:lvl>
    <w:lvl w:ilvl="6" w:tplc="0405000F">
      <w:start w:val="1"/>
      <w:numFmt w:val="decimal"/>
      <w:lvlText w:val="%7."/>
      <w:lvlJc w:val="left"/>
      <w:pPr>
        <w:ind w:left="4815" w:hanging="360"/>
      </w:pPr>
    </w:lvl>
    <w:lvl w:ilvl="7" w:tplc="04050019">
      <w:start w:val="1"/>
      <w:numFmt w:val="lowerLetter"/>
      <w:lvlText w:val="%8."/>
      <w:lvlJc w:val="left"/>
      <w:pPr>
        <w:ind w:left="5535" w:hanging="360"/>
      </w:pPr>
    </w:lvl>
    <w:lvl w:ilvl="8" w:tplc="0405001B">
      <w:start w:val="1"/>
      <w:numFmt w:val="lowerRoman"/>
      <w:lvlText w:val="%9."/>
      <w:lvlJc w:val="right"/>
      <w:pPr>
        <w:ind w:left="6255" w:hanging="180"/>
      </w:pPr>
    </w:lvl>
  </w:abstractNum>
  <w:abstractNum w:abstractNumId="16" w15:restartNumberingAfterBreak="0">
    <w:nsid w:val="44011D2C"/>
    <w:multiLevelType w:val="hybridMultilevel"/>
    <w:tmpl w:val="8A7679F8"/>
    <w:lvl w:ilvl="0" w:tplc="04050001">
      <w:start w:val="1"/>
      <w:numFmt w:val="bullet"/>
      <w:lvlText w:val=""/>
      <w:lvlJc w:val="left"/>
      <w:pPr>
        <w:ind w:left="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56" w:hanging="360"/>
      </w:pPr>
      <w:rPr>
        <w:rFonts w:ascii="Wingdings" w:hAnsi="Wingdings" w:hint="default"/>
      </w:rPr>
    </w:lvl>
  </w:abstractNum>
  <w:abstractNum w:abstractNumId="17" w15:restartNumberingAfterBreak="0">
    <w:nsid w:val="44982E4D"/>
    <w:multiLevelType w:val="hybridMultilevel"/>
    <w:tmpl w:val="AEAC763C"/>
    <w:lvl w:ilvl="0" w:tplc="0405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72769F4C">
      <w:numFmt w:val="bullet"/>
      <w:lvlText w:val="-"/>
      <w:lvlJc w:val="left"/>
      <w:pPr>
        <w:ind w:left="2512" w:hanging="576"/>
      </w:pPr>
      <w:rPr>
        <w:rFonts w:ascii="Arial" w:eastAsiaTheme="minorHAnsi" w:hAnsi="Arial" w:cs="Arial" w:hint="default"/>
        <w:b/>
      </w:rPr>
    </w:lvl>
    <w:lvl w:ilvl="3" w:tplc="040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8" w15:restartNumberingAfterBreak="0">
    <w:nsid w:val="4B1D4D56"/>
    <w:multiLevelType w:val="multilevel"/>
    <w:tmpl w:val="DB865014"/>
    <w:lvl w:ilvl="0">
      <w:start w:val="1"/>
      <w:numFmt w:val="upperLetter"/>
      <w:pStyle w:val="Plohy"/>
      <w:lvlText w:val="Příloha 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FDF6ACC"/>
    <w:multiLevelType w:val="hybridMultilevel"/>
    <w:tmpl w:val="AD3A13D2"/>
    <w:lvl w:ilvl="0" w:tplc="04050001">
      <w:start w:val="1"/>
      <w:numFmt w:val="bullet"/>
      <w:lvlText w:val=""/>
      <w:lvlJc w:val="left"/>
      <w:pPr>
        <w:ind w:left="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56" w:hanging="360"/>
      </w:pPr>
      <w:rPr>
        <w:rFonts w:ascii="Wingdings" w:hAnsi="Wingdings" w:hint="default"/>
      </w:rPr>
    </w:lvl>
  </w:abstractNum>
  <w:abstractNum w:abstractNumId="20" w15:restartNumberingAfterBreak="0">
    <w:nsid w:val="54626EEC"/>
    <w:multiLevelType w:val="multilevel"/>
    <w:tmpl w:val="33A0DCF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5825543C"/>
    <w:multiLevelType w:val="hybridMultilevel"/>
    <w:tmpl w:val="F66659B8"/>
    <w:lvl w:ilvl="0" w:tplc="04050001">
      <w:start w:val="1"/>
      <w:numFmt w:val="bullet"/>
      <w:lvlText w:val=""/>
      <w:lvlJc w:val="left"/>
      <w:pPr>
        <w:ind w:left="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56" w:hanging="360"/>
      </w:pPr>
      <w:rPr>
        <w:rFonts w:ascii="Wingdings" w:hAnsi="Wingdings" w:hint="default"/>
      </w:rPr>
    </w:lvl>
  </w:abstractNum>
  <w:abstractNum w:abstractNumId="22" w15:restartNumberingAfterBreak="0">
    <w:nsid w:val="5C1A1594"/>
    <w:multiLevelType w:val="hybridMultilevel"/>
    <w:tmpl w:val="072A2BE0"/>
    <w:lvl w:ilvl="0" w:tplc="04050001">
      <w:start w:val="1"/>
      <w:numFmt w:val="bullet"/>
      <w:lvlText w:val=""/>
      <w:lvlJc w:val="left"/>
      <w:pPr>
        <w:ind w:left="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56" w:hanging="360"/>
      </w:pPr>
      <w:rPr>
        <w:rFonts w:ascii="Wingdings" w:hAnsi="Wingdings" w:hint="default"/>
      </w:rPr>
    </w:lvl>
  </w:abstractNum>
  <w:abstractNum w:abstractNumId="23" w15:restartNumberingAfterBreak="0">
    <w:nsid w:val="5FB44EE3"/>
    <w:multiLevelType w:val="hybridMultilevel"/>
    <w:tmpl w:val="304425A8"/>
    <w:lvl w:ilvl="0" w:tplc="04050001">
      <w:start w:val="1"/>
      <w:numFmt w:val="bullet"/>
      <w:lvlText w:val=""/>
      <w:lvlJc w:val="left"/>
      <w:pPr>
        <w:ind w:left="9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24" w15:restartNumberingAfterBreak="0">
    <w:nsid w:val="64295657"/>
    <w:multiLevelType w:val="hybridMultilevel"/>
    <w:tmpl w:val="F94EADF8"/>
    <w:lvl w:ilvl="0" w:tplc="04050001">
      <w:start w:val="1"/>
      <w:numFmt w:val="bullet"/>
      <w:lvlText w:val=""/>
      <w:lvlJc w:val="left"/>
      <w:pPr>
        <w:ind w:left="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5" w15:restartNumberingAfterBreak="0">
    <w:nsid w:val="776D5A7C"/>
    <w:multiLevelType w:val="hybridMultilevel"/>
    <w:tmpl w:val="21D40752"/>
    <w:lvl w:ilvl="0" w:tplc="92B6D086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6" w15:restartNumberingAfterBreak="0">
    <w:nsid w:val="78F63EAB"/>
    <w:multiLevelType w:val="hybridMultilevel"/>
    <w:tmpl w:val="F960836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18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lvl w:ilvl="0">
        <w:start w:val="1"/>
        <w:numFmt w:val="bullet"/>
        <w:pStyle w:val="Odrky1"/>
        <w:lvlText w:val=""/>
        <w:lvlJc w:val="left"/>
        <w:pPr>
          <w:tabs>
            <w:tab w:val="num" w:pos="284"/>
          </w:tabs>
          <w:ind w:left="284" w:hanging="284"/>
        </w:pPr>
        <w:rPr>
          <w:rFonts w:ascii="Wingdings" w:hAnsi="Wingdings" w:hint="default"/>
          <w:color w:val="505050" w:themeColor="accent1"/>
          <w:sz w:val="22"/>
        </w:rPr>
      </w:lvl>
    </w:lvlOverride>
    <w:lvlOverride w:ilvl="1">
      <w:lvl w:ilvl="1">
        <w:start w:val="1"/>
        <w:numFmt w:val="bullet"/>
        <w:pStyle w:val="Odrky2"/>
        <w:lvlText w:val=""/>
        <w:lvlJc w:val="left"/>
        <w:pPr>
          <w:tabs>
            <w:tab w:val="num" w:pos="567"/>
          </w:tabs>
          <w:ind w:left="567" w:hanging="283"/>
        </w:pPr>
        <w:rPr>
          <w:rFonts w:ascii="Symbol" w:hAnsi="Symbol" w:hint="default"/>
          <w:color w:val="505050" w:themeColor="accent1"/>
        </w:rPr>
      </w:lvl>
    </w:lvlOverride>
    <w:lvlOverride w:ilvl="2">
      <w:lvl w:ilvl="2">
        <w:start w:val="1"/>
        <w:numFmt w:val="bullet"/>
        <w:pStyle w:val="Odrky3"/>
        <w:lvlText w:val=""/>
        <w:lvlJc w:val="left"/>
        <w:pPr>
          <w:tabs>
            <w:tab w:val="num" w:pos="851"/>
          </w:tabs>
          <w:ind w:left="851" w:hanging="284"/>
        </w:pPr>
        <w:rPr>
          <w:rFonts w:ascii="Wingdings 2" w:hAnsi="Wingdings 2" w:hint="default"/>
          <w:color w:val="505050" w:themeColor="accent1"/>
        </w:rPr>
      </w:lvl>
    </w:lvlOverride>
    <w:lvlOverride w:ilvl="3">
      <w:lvl w:ilvl="3">
        <w:start w:val="1"/>
        <w:numFmt w:val="bullet"/>
        <w:pStyle w:val="Odrky4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pStyle w:val="Odrky5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9">
    <w:abstractNumId w:val="14"/>
  </w:num>
  <w:num w:numId="10">
    <w:abstractNumId w:val="8"/>
  </w:num>
  <w:num w:numId="11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4"/>
  </w:num>
  <w:num w:numId="14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5">
    <w:abstractNumId w:val="2"/>
    <w:lvlOverride w:ilvl="0">
      <w:lvl w:ilvl="0">
        <w:start w:val="1"/>
        <w:numFmt w:val="bullet"/>
        <w:pStyle w:val="Odrky1"/>
        <w:lvlText w:val=""/>
        <w:lvlJc w:val="left"/>
        <w:pPr>
          <w:tabs>
            <w:tab w:val="num" w:pos="397"/>
          </w:tabs>
          <w:ind w:left="397" w:hanging="397"/>
        </w:pPr>
        <w:rPr>
          <w:rFonts w:ascii="Wingdings 2" w:hAnsi="Wingdings 2" w:hint="default"/>
          <w:color w:val="505050" w:themeColor="accent1"/>
          <w:sz w:val="22"/>
          <w:szCs w:val="22"/>
        </w:rPr>
      </w:lvl>
    </w:lvlOverride>
    <w:lvlOverride w:ilvl="1">
      <w:lvl w:ilvl="1">
        <w:start w:val="1"/>
        <w:numFmt w:val="bullet"/>
        <w:pStyle w:val="Odrky2"/>
        <w:lvlText w:val=""/>
        <w:lvlJc w:val="left"/>
        <w:pPr>
          <w:tabs>
            <w:tab w:val="num" w:pos="794"/>
          </w:tabs>
          <w:ind w:left="794" w:hanging="397"/>
        </w:pPr>
        <w:rPr>
          <w:rFonts w:ascii="Wingdings 2" w:hAnsi="Wingdings 2" w:hint="default"/>
          <w:color w:val="505050" w:themeColor="accent1"/>
          <w:sz w:val="22"/>
        </w:rPr>
      </w:lvl>
    </w:lvlOverride>
    <w:lvlOverride w:ilvl="2">
      <w:lvl w:ilvl="2">
        <w:start w:val="1"/>
        <w:numFmt w:val="bullet"/>
        <w:pStyle w:val="Odrky3"/>
        <w:lvlText w:val=""/>
        <w:lvlJc w:val="left"/>
        <w:pPr>
          <w:tabs>
            <w:tab w:val="num" w:pos="1191"/>
          </w:tabs>
          <w:ind w:left="1191" w:hanging="397"/>
        </w:pPr>
        <w:rPr>
          <w:rFonts w:ascii="Wingdings 2" w:hAnsi="Wingdings 2" w:hint="default"/>
          <w:color w:val="505050" w:themeColor="accent1"/>
        </w:rPr>
      </w:lvl>
    </w:lvlOverride>
    <w:lvlOverride w:ilvl="3">
      <w:lvl w:ilvl="3">
        <w:start w:val="1"/>
        <w:numFmt w:val="bullet"/>
        <w:pStyle w:val="Odrky4"/>
        <w:lvlText w:val=""/>
        <w:lvlJc w:val="left"/>
        <w:pPr>
          <w:tabs>
            <w:tab w:val="num" w:pos="1588"/>
          </w:tabs>
          <w:ind w:left="1588" w:hanging="397"/>
        </w:pPr>
        <w:rPr>
          <w:rFonts w:ascii="Wingdings 2" w:hAnsi="Wingdings 2" w:hint="default"/>
          <w:color w:val="505050" w:themeColor="accent1"/>
        </w:rPr>
      </w:lvl>
    </w:lvlOverride>
    <w:lvlOverride w:ilvl="4">
      <w:lvl w:ilvl="4">
        <w:start w:val="1"/>
        <w:numFmt w:val="bullet"/>
        <w:pStyle w:val="Odrky5"/>
        <w:lvlText w:val=""/>
        <w:lvlJc w:val="left"/>
        <w:pPr>
          <w:tabs>
            <w:tab w:val="num" w:pos="1985"/>
          </w:tabs>
          <w:ind w:left="1985" w:hanging="397"/>
        </w:pPr>
        <w:rPr>
          <w:rFonts w:ascii="Wingdings 2" w:hAnsi="Wingdings 2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16">
    <w:abstractNumId w:val="20"/>
  </w:num>
  <w:num w:numId="17">
    <w:abstractNumId w:val="9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26"/>
  </w:num>
  <w:num w:numId="22">
    <w:abstractNumId w:val="10"/>
  </w:num>
  <w:num w:numId="23">
    <w:abstractNumId w:val="17"/>
  </w:num>
  <w:num w:numId="24">
    <w:abstractNumId w:val="21"/>
  </w:num>
  <w:num w:numId="25">
    <w:abstractNumId w:val="3"/>
  </w:num>
  <w:num w:numId="26">
    <w:abstractNumId w:val="19"/>
  </w:num>
  <w:num w:numId="27">
    <w:abstractNumId w:val="16"/>
  </w:num>
  <w:num w:numId="28">
    <w:abstractNumId w:val="22"/>
  </w:num>
  <w:num w:numId="29">
    <w:abstractNumId w:val="24"/>
  </w:num>
  <w:num w:numId="30">
    <w:abstractNumId w:val="13"/>
  </w:num>
  <w:num w:numId="31">
    <w:abstractNumId w:val="1"/>
  </w:num>
  <w:num w:numId="32">
    <w:abstractNumId w:val="6"/>
  </w:num>
  <w:num w:numId="33">
    <w:abstractNumId w:val="11"/>
  </w:num>
  <w:num w:numId="34">
    <w:abstractNumId w:val="23"/>
  </w:num>
  <w:num w:numId="35">
    <w:abstractNumId w:val="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461"/>
    <w:rsid w:val="00002C80"/>
    <w:rsid w:val="00010213"/>
    <w:rsid w:val="00010CCD"/>
    <w:rsid w:val="0001149E"/>
    <w:rsid w:val="00011BC1"/>
    <w:rsid w:val="00012682"/>
    <w:rsid w:val="00013DB0"/>
    <w:rsid w:val="00013EE4"/>
    <w:rsid w:val="000148A1"/>
    <w:rsid w:val="00015461"/>
    <w:rsid w:val="00017FE8"/>
    <w:rsid w:val="000217DF"/>
    <w:rsid w:val="0002322A"/>
    <w:rsid w:val="00025C78"/>
    <w:rsid w:val="000323FE"/>
    <w:rsid w:val="00041E6D"/>
    <w:rsid w:val="00042ACF"/>
    <w:rsid w:val="00043098"/>
    <w:rsid w:val="0005109D"/>
    <w:rsid w:val="000532DA"/>
    <w:rsid w:val="00055362"/>
    <w:rsid w:val="00055D80"/>
    <w:rsid w:val="00056FF3"/>
    <w:rsid w:val="00057C9B"/>
    <w:rsid w:val="00062CCA"/>
    <w:rsid w:val="00065476"/>
    <w:rsid w:val="00065731"/>
    <w:rsid w:val="00066245"/>
    <w:rsid w:val="000672EA"/>
    <w:rsid w:val="00067F8E"/>
    <w:rsid w:val="0007068D"/>
    <w:rsid w:val="0007291C"/>
    <w:rsid w:val="00073601"/>
    <w:rsid w:val="00075BFB"/>
    <w:rsid w:val="00077653"/>
    <w:rsid w:val="00084BF3"/>
    <w:rsid w:val="00084CE4"/>
    <w:rsid w:val="00086086"/>
    <w:rsid w:val="00091E09"/>
    <w:rsid w:val="00095061"/>
    <w:rsid w:val="0009548F"/>
    <w:rsid w:val="000A1FE3"/>
    <w:rsid w:val="000A2E53"/>
    <w:rsid w:val="000B25D8"/>
    <w:rsid w:val="000B58F5"/>
    <w:rsid w:val="000C6743"/>
    <w:rsid w:val="000C7F89"/>
    <w:rsid w:val="000D0DA0"/>
    <w:rsid w:val="000E0210"/>
    <w:rsid w:val="000E070F"/>
    <w:rsid w:val="000E11BF"/>
    <w:rsid w:val="000E7593"/>
    <w:rsid w:val="000F0056"/>
    <w:rsid w:val="000F365E"/>
    <w:rsid w:val="000F5592"/>
    <w:rsid w:val="000F7853"/>
    <w:rsid w:val="00100651"/>
    <w:rsid w:val="00105CB2"/>
    <w:rsid w:val="00106D0D"/>
    <w:rsid w:val="0011065B"/>
    <w:rsid w:val="00111C57"/>
    <w:rsid w:val="00111F3D"/>
    <w:rsid w:val="0011585D"/>
    <w:rsid w:val="001163C8"/>
    <w:rsid w:val="0011753D"/>
    <w:rsid w:val="00121E84"/>
    <w:rsid w:val="00123289"/>
    <w:rsid w:val="00130C1C"/>
    <w:rsid w:val="00146268"/>
    <w:rsid w:val="00152FBA"/>
    <w:rsid w:val="001544BB"/>
    <w:rsid w:val="001547D9"/>
    <w:rsid w:val="001555A7"/>
    <w:rsid w:val="0015625D"/>
    <w:rsid w:val="0015776F"/>
    <w:rsid w:val="0015780E"/>
    <w:rsid w:val="001608E0"/>
    <w:rsid w:val="001623AB"/>
    <w:rsid w:val="001641A3"/>
    <w:rsid w:val="001673AF"/>
    <w:rsid w:val="0016750B"/>
    <w:rsid w:val="001725AB"/>
    <w:rsid w:val="00177104"/>
    <w:rsid w:val="001776A7"/>
    <w:rsid w:val="001819EE"/>
    <w:rsid w:val="00184612"/>
    <w:rsid w:val="00184F3F"/>
    <w:rsid w:val="00185596"/>
    <w:rsid w:val="001870FB"/>
    <w:rsid w:val="00192921"/>
    <w:rsid w:val="001936D1"/>
    <w:rsid w:val="00194656"/>
    <w:rsid w:val="00195914"/>
    <w:rsid w:val="001A3FE1"/>
    <w:rsid w:val="001A4739"/>
    <w:rsid w:val="001A568F"/>
    <w:rsid w:val="001A6499"/>
    <w:rsid w:val="001B55D7"/>
    <w:rsid w:val="001B6C30"/>
    <w:rsid w:val="001B764E"/>
    <w:rsid w:val="001C00FB"/>
    <w:rsid w:val="001C08A2"/>
    <w:rsid w:val="001C116D"/>
    <w:rsid w:val="001C5D63"/>
    <w:rsid w:val="001C734E"/>
    <w:rsid w:val="001D1C8D"/>
    <w:rsid w:val="001D2148"/>
    <w:rsid w:val="001D3DFE"/>
    <w:rsid w:val="001D3EA2"/>
    <w:rsid w:val="001D5560"/>
    <w:rsid w:val="001E2E41"/>
    <w:rsid w:val="001E2F97"/>
    <w:rsid w:val="001F408D"/>
    <w:rsid w:val="001F65ED"/>
    <w:rsid w:val="002008DB"/>
    <w:rsid w:val="00202271"/>
    <w:rsid w:val="0020570D"/>
    <w:rsid w:val="00213216"/>
    <w:rsid w:val="0021360F"/>
    <w:rsid w:val="00213EDB"/>
    <w:rsid w:val="00216782"/>
    <w:rsid w:val="0021735F"/>
    <w:rsid w:val="00217E80"/>
    <w:rsid w:val="00220B16"/>
    <w:rsid w:val="002319F2"/>
    <w:rsid w:val="00233C41"/>
    <w:rsid w:val="0023551B"/>
    <w:rsid w:val="00235C67"/>
    <w:rsid w:val="002456A4"/>
    <w:rsid w:val="00245C85"/>
    <w:rsid w:val="00253E1A"/>
    <w:rsid w:val="00262FCE"/>
    <w:rsid w:val="00263E21"/>
    <w:rsid w:val="00265BDF"/>
    <w:rsid w:val="00266B7E"/>
    <w:rsid w:val="002671A0"/>
    <w:rsid w:val="002703A6"/>
    <w:rsid w:val="00271B56"/>
    <w:rsid w:val="00273B96"/>
    <w:rsid w:val="00275AB3"/>
    <w:rsid w:val="0028041A"/>
    <w:rsid w:val="002824A8"/>
    <w:rsid w:val="00283A91"/>
    <w:rsid w:val="00284566"/>
    <w:rsid w:val="0028620C"/>
    <w:rsid w:val="002866E8"/>
    <w:rsid w:val="00286B78"/>
    <w:rsid w:val="00287562"/>
    <w:rsid w:val="00287DE2"/>
    <w:rsid w:val="002900AD"/>
    <w:rsid w:val="00291C69"/>
    <w:rsid w:val="002921D1"/>
    <w:rsid w:val="00297C71"/>
    <w:rsid w:val="002A326C"/>
    <w:rsid w:val="002A4F6A"/>
    <w:rsid w:val="002B1FC8"/>
    <w:rsid w:val="002B3FC2"/>
    <w:rsid w:val="002B43D5"/>
    <w:rsid w:val="002B6E2F"/>
    <w:rsid w:val="002B6FD3"/>
    <w:rsid w:val="002C0811"/>
    <w:rsid w:val="002C3D2C"/>
    <w:rsid w:val="002C4433"/>
    <w:rsid w:val="002C4D5F"/>
    <w:rsid w:val="002C722A"/>
    <w:rsid w:val="002D1787"/>
    <w:rsid w:val="002D1E7B"/>
    <w:rsid w:val="002D45BB"/>
    <w:rsid w:val="002D7766"/>
    <w:rsid w:val="002E251A"/>
    <w:rsid w:val="002E3DD6"/>
    <w:rsid w:val="002F7810"/>
    <w:rsid w:val="00302400"/>
    <w:rsid w:val="0030358E"/>
    <w:rsid w:val="003046B0"/>
    <w:rsid w:val="00304E57"/>
    <w:rsid w:val="00306C59"/>
    <w:rsid w:val="00310BD7"/>
    <w:rsid w:val="00313B7F"/>
    <w:rsid w:val="00320D02"/>
    <w:rsid w:val="00321EB6"/>
    <w:rsid w:val="00323B22"/>
    <w:rsid w:val="00323F2B"/>
    <w:rsid w:val="00324E67"/>
    <w:rsid w:val="00325B25"/>
    <w:rsid w:val="00326045"/>
    <w:rsid w:val="00327A89"/>
    <w:rsid w:val="00330790"/>
    <w:rsid w:val="00334D40"/>
    <w:rsid w:val="003353AE"/>
    <w:rsid w:val="00340489"/>
    <w:rsid w:val="0034069A"/>
    <w:rsid w:val="00342EB6"/>
    <w:rsid w:val="0035618B"/>
    <w:rsid w:val="00357929"/>
    <w:rsid w:val="00357C7C"/>
    <w:rsid w:val="00361FFC"/>
    <w:rsid w:val="003623D0"/>
    <w:rsid w:val="00362F19"/>
    <w:rsid w:val="00363648"/>
    <w:rsid w:val="00364AE3"/>
    <w:rsid w:val="00372CC0"/>
    <w:rsid w:val="00373F94"/>
    <w:rsid w:val="00374545"/>
    <w:rsid w:val="00380078"/>
    <w:rsid w:val="003834BD"/>
    <w:rsid w:val="003835BA"/>
    <w:rsid w:val="003851E9"/>
    <w:rsid w:val="00385D1E"/>
    <w:rsid w:val="00386D5D"/>
    <w:rsid w:val="00393FC2"/>
    <w:rsid w:val="00394C90"/>
    <w:rsid w:val="00394E65"/>
    <w:rsid w:val="003975E3"/>
    <w:rsid w:val="00397699"/>
    <w:rsid w:val="003A5621"/>
    <w:rsid w:val="003A5981"/>
    <w:rsid w:val="003A7C65"/>
    <w:rsid w:val="003B1163"/>
    <w:rsid w:val="003B21C8"/>
    <w:rsid w:val="003B30CF"/>
    <w:rsid w:val="003B51A6"/>
    <w:rsid w:val="003B535C"/>
    <w:rsid w:val="003B54B1"/>
    <w:rsid w:val="003B6F5A"/>
    <w:rsid w:val="003B782F"/>
    <w:rsid w:val="003C286E"/>
    <w:rsid w:val="003C2A14"/>
    <w:rsid w:val="003C30CD"/>
    <w:rsid w:val="003C33C3"/>
    <w:rsid w:val="003C3AD1"/>
    <w:rsid w:val="003C3D35"/>
    <w:rsid w:val="003C6223"/>
    <w:rsid w:val="003C6673"/>
    <w:rsid w:val="003D0C26"/>
    <w:rsid w:val="003D3DF9"/>
    <w:rsid w:val="003D6B15"/>
    <w:rsid w:val="003D7D96"/>
    <w:rsid w:val="003E3018"/>
    <w:rsid w:val="003E5795"/>
    <w:rsid w:val="003E5B44"/>
    <w:rsid w:val="003E5B93"/>
    <w:rsid w:val="003F0219"/>
    <w:rsid w:val="003F02C5"/>
    <w:rsid w:val="003F6152"/>
    <w:rsid w:val="00401AFE"/>
    <w:rsid w:val="00404285"/>
    <w:rsid w:val="00406152"/>
    <w:rsid w:val="00412AB7"/>
    <w:rsid w:val="004162EF"/>
    <w:rsid w:val="004178DE"/>
    <w:rsid w:val="0042452B"/>
    <w:rsid w:val="004354DE"/>
    <w:rsid w:val="00435BE9"/>
    <w:rsid w:val="00440885"/>
    <w:rsid w:val="004415B1"/>
    <w:rsid w:val="0044506B"/>
    <w:rsid w:val="00445892"/>
    <w:rsid w:val="004461FB"/>
    <w:rsid w:val="0045118F"/>
    <w:rsid w:val="0045306E"/>
    <w:rsid w:val="004548E9"/>
    <w:rsid w:val="00455567"/>
    <w:rsid w:val="0045575E"/>
    <w:rsid w:val="00457044"/>
    <w:rsid w:val="004628A6"/>
    <w:rsid w:val="00471DEA"/>
    <w:rsid w:val="00473C5A"/>
    <w:rsid w:val="004777B7"/>
    <w:rsid w:val="004777DD"/>
    <w:rsid w:val="00483DED"/>
    <w:rsid w:val="004852E6"/>
    <w:rsid w:val="00485CD8"/>
    <w:rsid w:val="00485DCF"/>
    <w:rsid w:val="00494211"/>
    <w:rsid w:val="00497ED7"/>
    <w:rsid w:val="004A29A6"/>
    <w:rsid w:val="004B7F1B"/>
    <w:rsid w:val="004C08FD"/>
    <w:rsid w:val="004C0FC1"/>
    <w:rsid w:val="004C3825"/>
    <w:rsid w:val="004C49E5"/>
    <w:rsid w:val="004C4E71"/>
    <w:rsid w:val="004C6737"/>
    <w:rsid w:val="004C721F"/>
    <w:rsid w:val="004D0D65"/>
    <w:rsid w:val="004D1122"/>
    <w:rsid w:val="004D3395"/>
    <w:rsid w:val="004D4EAF"/>
    <w:rsid w:val="004D73F0"/>
    <w:rsid w:val="004E02DE"/>
    <w:rsid w:val="004E440F"/>
    <w:rsid w:val="004E5D87"/>
    <w:rsid w:val="004F0B5C"/>
    <w:rsid w:val="0050196A"/>
    <w:rsid w:val="00502206"/>
    <w:rsid w:val="00502387"/>
    <w:rsid w:val="00502F24"/>
    <w:rsid w:val="00505B27"/>
    <w:rsid w:val="00505F94"/>
    <w:rsid w:val="00512C01"/>
    <w:rsid w:val="00513636"/>
    <w:rsid w:val="005155DF"/>
    <w:rsid w:val="00517735"/>
    <w:rsid w:val="00520E0F"/>
    <w:rsid w:val="005224D3"/>
    <w:rsid w:val="005233B7"/>
    <w:rsid w:val="00525AEF"/>
    <w:rsid w:val="00531460"/>
    <w:rsid w:val="00536184"/>
    <w:rsid w:val="00536191"/>
    <w:rsid w:val="00536CEE"/>
    <w:rsid w:val="005447F3"/>
    <w:rsid w:val="00550777"/>
    <w:rsid w:val="00550B56"/>
    <w:rsid w:val="00551AE6"/>
    <w:rsid w:val="0055203F"/>
    <w:rsid w:val="00553AD7"/>
    <w:rsid w:val="005554D0"/>
    <w:rsid w:val="00556F01"/>
    <w:rsid w:val="0056386A"/>
    <w:rsid w:val="00566980"/>
    <w:rsid w:val="00566BB4"/>
    <w:rsid w:val="00567C05"/>
    <w:rsid w:val="005723A3"/>
    <w:rsid w:val="0057357C"/>
    <w:rsid w:val="00573732"/>
    <w:rsid w:val="00576EF8"/>
    <w:rsid w:val="0058462D"/>
    <w:rsid w:val="0058493E"/>
    <w:rsid w:val="00585604"/>
    <w:rsid w:val="00585E84"/>
    <w:rsid w:val="005863FE"/>
    <w:rsid w:val="00586D26"/>
    <w:rsid w:val="0058734B"/>
    <w:rsid w:val="00587761"/>
    <w:rsid w:val="005970DF"/>
    <w:rsid w:val="00597E60"/>
    <w:rsid w:val="005A6ED5"/>
    <w:rsid w:val="005B0334"/>
    <w:rsid w:val="005B2178"/>
    <w:rsid w:val="005B5E04"/>
    <w:rsid w:val="005B66CA"/>
    <w:rsid w:val="005B7AFA"/>
    <w:rsid w:val="005C19CB"/>
    <w:rsid w:val="005C1FBA"/>
    <w:rsid w:val="005C28D2"/>
    <w:rsid w:val="005D3C8B"/>
    <w:rsid w:val="005D400F"/>
    <w:rsid w:val="005D600B"/>
    <w:rsid w:val="005D7987"/>
    <w:rsid w:val="005E355B"/>
    <w:rsid w:val="005E72E4"/>
    <w:rsid w:val="005F1A28"/>
    <w:rsid w:val="005F229B"/>
    <w:rsid w:val="005F645F"/>
    <w:rsid w:val="005F7E0F"/>
    <w:rsid w:val="00605AF1"/>
    <w:rsid w:val="0060650E"/>
    <w:rsid w:val="00607833"/>
    <w:rsid w:val="0062246E"/>
    <w:rsid w:val="0062696A"/>
    <w:rsid w:val="00631D58"/>
    <w:rsid w:val="00632077"/>
    <w:rsid w:val="00640900"/>
    <w:rsid w:val="00640D76"/>
    <w:rsid w:val="00641213"/>
    <w:rsid w:val="00643969"/>
    <w:rsid w:val="00647088"/>
    <w:rsid w:val="00651D16"/>
    <w:rsid w:val="00653116"/>
    <w:rsid w:val="00656607"/>
    <w:rsid w:val="00665AD8"/>
    <w:rsid w:val="00671782"/>
    <w:rsid w:val="006718E7"/>
    <w:rsid w:val="00671BCF"/>
    <w:rsid w:val="00680FF8"/>
    <w:rsid w:val="0068462F"/>
    <w:rsid w:val="00684FCE"/>
    <w:rsid w:val="00685750"/>
    <w:rsid w:val="00685787"/>
    <w:rsid w:val="006939CB"/>
    <w:rsid w:val="00694A19"/>
    <w:rsid w:val="006A363C"/>
    <w:rsid w:val="006B085B"/>
    <w:rsid w:val="006B3320"/>
    <w:rsid w:val="006B7AD7"/>
    <w:rsid w:val="006B7BBA"/>
    <w:rsid w:val="006C264D"/>
    <w:rsid w:val="006C2C24"/>
    <w:rsid w:val="006C7F90"/>
    <w:rsid w:val="006D008A"/>
    <w:rsid w:val="006D0528"/>
    <w:rsid w:val="006D0572"/>
    <w:rsid w:val="006D1456"/>
    <w:rsid w:val="006D2EC2"/>
    <w:rsid w:val="006D62E8"/>
    <w:rsid w:val="006D7FC5"/>
    <w:rsid w:val="006E1FB1"/>
    <w:rsid w:val="006F114E"/>
    <w:rsid w:val="006F1515"/>
    <w:rsid w:val="006F7E2F"/>
    <w:rsid w:val="007021C1"/>
    <w:rsid w:val="00702545"/>
    <w:rsid w:val="00703107"/>
    <w:rsid w:val="00706BD4"/>
    <w:rsid w:val="00707812"/>
    <w:rsid w:val="00713482"/>
    <w:rsid w:val="007149D6"/>
    <w:rsid w:val="0071603B"/>
    <w:rsid w:val="0071660A"/>
    <w:rsid w:val="0072282A"/>
    <w:rsid w:val="007261A9"/>
    <w:rsid w:val="0072769B"/>
    <w:rsid w:val="00730AF0"/>
    <w:rsid w:val="00731BBC"/>
    <w:rsid w:val="00731E02"/>
    <w:rsid w:val="00732F94"/>
    <w:rsid w:val="00733763"/>
    <w:rsid w:val="00737635"/>
    <w:rsid w:val="00737B35"/>
    <w:rsid w:val="00744469"/>
    <w:rsid w:val="0074527D"/>
    <w:rsid w:val="00745FD1"/>
    <w:rsid w:val="0074673D"/>
    <w:rsid w:val="0074689F"/>
    <w:rsid w:val="00747312"/>
    <w:rsid w:val="007534E5"/>
    <w:rsid w:val="007566EB"/>
    <w:rsid w:val="00761726"/>
    <w:rsid w:val="0076379F"/>
    <w:rsid w:val="007721B7"/>
    <w:rsid w:val="00773D72"/>
    <w:rsid w:val="00777075"/>
    <w:rsid w:val="007815D8"/>
    <w:rsid w:val="007824BC"/>
    <w:rsid w:val="00782D4C"/>
    <w:rsid w:val="00785489"/>
    <w:rsid w:val="0078642B"/>
    <w:rsid w:val="007964A4"/>
    <w:rsid w:val="00797E60"/>
    <w:rsid w:val="007A0075"/>
    <w:rsid w:val="007A0C0A"/>
    <w:rsid w:val="007A1148"/>
    <w:rsid w:val="007A38F6"/>
    <w:rsid w:val="007A51D7"/>
    <w:rsid w:val="007A6D0A"/>
    <w:rsid w:val="007B0D8E"/>
    <w:rsid w:val="007B1C3C"/>
    <w:rsid w:val="007C05C6"/>
    <w:rsid w:val="007D0935"/>
    <w:rsid w:val="007D0D10"/>
    <w:rsid w:val="007D2E93"/>
    <w:rsid w:val="007D6594"/>
    <w:rsid w:val="007D706E"/>
    <w:rsid w:val="007E1794"/>
    <w:rsid w:val="007E732D"/>
    <w:rsid w:val="007E7D0F"/>
    <w:rsid w:val="007F070D"/>
    <w:rsid w:val="007F0CF0"/>
    <w:rsid w:val="007F2375"/>
    <w:rsid w:val="007F3D74"/>
    <w:rsid w:val="007F59A4"/>
    <w:rsid w:val="007F6686"/>
    <w:rsid w:val="00801FBA"/>
    <w:rsid w:val="00805351"/>
    <w:rsid w:val="008053D8"/>
    <w:rsid w:val="00805BCD"/>
    <w:rsid w:val="008119EA"/>
    <w:rsid w:val="00812170"/>
    <w:rsid w:val="00815340"/>
    <w:rsid w:val="00815F47"/>
    <w:rsid w:val="00822FB4"/>
    <w:rsid w:val="00824E14"/>
    <w:rsid w:val="008255F6"/>
    <w:rsid w:val="00830A79"/>
    <w:rsid w:val="00830BEF"/>
    <w:rsid w:val="008316C8"/>
    <w:rsid w:val="008368C1"/>
    <w:rsid w:val="00840F75"/>
    <w:rsid w:val="00841716"/>
    <w:rsid w:val="00842CFE"/>
    <w:rsid w:val="00844670"/>
    <w:rsid w:val="0084648D"/>
    <w:rsid w:val="00847203"/>
    <w:rsid w:val="00852614"/>
    <w:rsid w:val="00854EBA"/>
    <w:rsid w:val="00854F14"/>
    <w:rsid w:val="008647B8"/>
    <w:rsid w:val="0086572F"/>
    <w:rsid w:val="00867C1F"/>
    <w:rsid w:val="008733AF"/>
    <w:rsid w:val="00873F48"/>
    <w:rsid w:val="00880704"/>
    <w:rsid w:val="008819E7"/>
    <w:rsid w:val="00883373"/>
    <w:rsid w:val="008842D3"/>
    <w:rsid w:val="00890FAA"/>
    <w:rsid w:val="00891AB7"/>
    <w:rsid w:val="00893A58"/>
    <w:rsid w:val="00895703"/>
    <w:rsid w:val="008A33C0"/>
    <w:rsid w:val="008A4EDE"/>
    <w:rsid w:val="008B113E"/>
    <w:rsid w:val="008B30E4"/>
    <w:rsid w:val="008B3A08"/>
    <w:rsid w:val="008B3D62"/>
    <w:rsid w:val="008B607A"/>
    <w:rsid w:val="008B6955"/>
    <w:rsid w:val="008B7805"/>
    <w:rsid w:val="008B7CE2"/>
    <w:rsid w:val="008C08A6"/>
    <w:rsid w:val="008C5D28"/>
    <w:rsid w:val="008C6214"/>
    <w:rsid w:val="008C6CAA"/>
    <w:rsid w:val="008D11AC"/>
    <w:rsid w:val="008D29B6"/>
    <w:rsid w:val="008D6560"/>
    <w:rsid w:val="008E654A"/>
    <w:rsid w:val="008F73AF"/>
    <w:rsid w:val="008F7D9B"/>
    <w:rsid w:val="009031EA"/>
    <w:rsid w:val="00906542"/>
    <w:rsid w:val="00910732"/>
    <w:rsid w:val="009117F1"/>
    <w:rsid w:val="009121EF"/>
    <w:rsid w:val="0091326C"/>
    <w:rsid w:val="00913EE0"/>
    <w:rsid w:val="00916668"/>
    <w:rsid w:val="0091734D"/>
    <w:rsid w:val="009175AD"/>
    <w:rsid w:val="00920DCB"/>
    <w:rsid w:val="009243A0"/>
    <w:rsid w:val="009343A7"/>
    <w:rsid w:val="00934A32"/>
    <w:rsid w:val="00942E26"/>
    <w:rsid w:val="00942F74"/>
    <w:rsid w:val="00946EFB"/>
    <w:rsid w:val="00951C49"/>
    <w:rsid w:val="00954A37"/>
    <w:rsid w:val="009559F2"/>
    <w:rsid w:val="009574F9"/>
    <w:rsid w:val="00957744"/>
    <w:rsid w:val="009578D7"/>
    <w:rsid w:val="00960929"/>
    <w:rsid w:val="009620EC"/>
    <w:rsid w:val="00963080"/>
    <w:rsid w:val="00967D4A"/>
    <w:rsid w:val="009740BB"/>
    <w:rsid w:val="009743B1"/>
    <w:rsid w:val="00980FB2"/>
    <w:rsid w:val="00982579"/>
    <w:rsid w:val="00982697"/>
    <w:rsid w:val="009901F9"/>
    <w:rsid w:val="009920D9"/>
    <w:rsid w:val="00994F12"/>
    <w:rsid w:val="009964C9"/>
    <w:rsid w:val="009A365E"/>
    <w:rsid w:val="009A3F0F"/>
    <w:rsid w:val="009A733B"/>
    <w:rsid w:val="009A7345"/>
    <w:rsid w:val="009A755D"/>
    <w:rsid w:val="009B4E71"/>
    <w:rsid w:val="009B58E7"/>
    <w:rsid w:val="009B68FE"/>
    <w:rsid w:val="009C1201"/>
    <w:rsid w:val="009C6048"/>
    <w:rsid w:val="009C6899"/>
    <w:rsid w:val="009C71CB"/>
    <w:rsid w:val="009D027F"/>
    <w:rsid w:val="009D2047"/>
    <w:rsid w:val="009D2414"/>
    <w:rsid w:val="009D6602"/>
    <w:rsid w:val="009D76C1"/>
    <w:rsid w:val="009E1C91"/>
    <w:rsid w:val="009E248F"/>
    <w:rsid w:val="009E4BAA"/>
    <w:rsid w:val="009E7F4E"/>
    <w:rsid w:val="009F161C"/>
    <w:rsid w:val="009F2A45"/>
    <w:rsid w:val="009F56D6"/>
    <w:rsid w:val="009F660E"/>
    <w:rsid w:val="009F7483"/>
    <w:rsid w:val="009F7569"/>
    <w:rsid w:val="00A002F2"/>
    <w:rsid w:val="00A01FE2"/>
    <w:rsid w:val="00A037B1"/>
    <w:rsid w:val="00A05864"/>
    <w:rsid w:val="00A06323"/>
    <w:rsid w:val="00A076EC"/>
    <w:rsid w:val="00A079B3"/>
    <w:rsid w:val="00A107BB"/>
    <w:rsid w:val="00A11591"/>
    <w:rsid w:val="00A11E0F"/>
    <w:rsid w:val="00A143B7"/>
    <w:rsid w:val="00A14A09"/>
    <w:rsid w:val="00A15003"/>
    <w:rsid w:val="00A15D10"/>
    <w:rsid w:val="00A16328"/>
    <w:rsid w:val="00A17046"/>
    <w:rsid w:val="00A247EC"/>
    <w:rsid w:val="00A26D02"/>
    <w:rsid w:val="00A30163"/>
    <w:rsid w:val="00A338EB"/>
    <w:rsid w:val="00A33A3D"/>
    <w:rsid w:val="00A34F9E"/>
    <w:rsid w:val="00A36264"/>
    <w:rsid w:val="00A47B09"/>
    <w:rsid w:val="00A5008A"/>
    <w:rsid w:val="00A5168C"/>
    <w:rsid w:val="00A53467"/>
    <w:rsid w:val="00A57ED4"/>
    <w:rsid w:val="00A60280"/>
    <w:rsid w:val="00A64725"/>
    <w:rsid w:val="00A67723"/>
    <w:rsid w:val="00A73015"/>
    <w:rsid w:val="00A7338C"/>
    <w:rsid w:val="00A749A1"/>
    <w:rsid w:val="00A81FB6"/>
    <w:rsid w:val="00A85F55"/>
    <w:rsid w:val="00A87668"/>
    <w:rsid w:val="00A90963"/>
    <w:rsid w:val="00AA1D24"/>
    <w:rsid w:val="00AA3E99"/>
    <w:rsid w:val="00AA43DF"/>
    <w:rsid w:val="00AA673F"/>
    <w:rsid w:val="00AB5DDF"/>
    <w:rsid w:val="00AB7718"/>
    <w:rsid w:val="00AC2654"/>
    <w:rsid w:val="00AC2F31"/>
    <w:rsid w:val="00AC3356"/>
    <w:rsid w:val="00AC53A8"/>
    <w:rsid w:val="00AC57F0"/>
    <w:rsid w:val="00AC60B2"/>
    <w:rsid w:val="00AC6521"/>
    <w:rsid w:val="00AD04D6"/>
    <w:rsid w:val="00AD0D1F"/>
    <w:rsid w:val="00AD2596"/>
    <w:rsid w:val="00AD3788"/>
    <w:rsid w:val="00AD55F1"/>
    <w:rsid w:val="00AD5E7E"/>
    <w:rsid w:val="00AD6B8F"/>
    <w:rsid w:val="00AD6F1C"/>
    <w:rsid w:val="00AD7614"/>
    <w:rsid w:val="00AE3AEB"/>
    <w:rsid w:val="00AE435A"/>
    <w:rsid w:val="00AF56CD"/>
    <w:rsid w:val="00AF7734"/>
    <w:rsid w:val="00B01A77"/>
    <w:rsid w:val="00B04C20"/>
    <w:rsid w:val="00B07DE3"/>
    <w:rsid w:val="00B113FA"/>
    <w:rsid w:val="00B11883"/>
    <w:rsid w:val="00B13000"/>
    <w:rsid w:val="00B13B04"/>
    <w:rsid w:val="00B1619D"/>
    <w:rsid w:val="00B17FAD"/>
    <w:rsid w:val="00B25C73"/>
    <w:rsid w:val="00B26295"/>
    <w:rsid w:val="00B31256"/>
    <w:rsid w:val="00B318D5"/>
    <w:rsid w:val="00B32C5C"/>
    <w:rsid w:val="00B33DB4"/>
    <w:rsid w:val="00B40A7C"/>
    <w:rsid w:val="00B43BAF"/>
    <w:rsid w:val="00B50733"/>
    <w:rsid w:val="00B539D6"/>
    <w:rsid w:val="00B53F05"/>
    <w:rsid w:val="00B5527A"/>
    <w:rsid w:val="00B56267"/>
    <w:rsid w:val="00B56786"/>
    <w:rsid w:val="00B56C98"/>
    <w:rsid w:val="00B57C7F"/>
    <w:rsid w:val="00B60E96"/>
    <w:rsid w:val="00B615F0"/>
    <w:rsid w:val="00B65D8C"/>
    <w:rsid w:val="00B66122"/>
    <w:rsid w:val="00B70C0C"/>
    <w:rsid w:val="00B81649"/>
    <w:rsid w:val="00B816CF"/>
    <w:rsid w:val="00B81EA1"/>
    <w:rsid w:val="00B84285"/>
    <w:rsid w:val="00B8793F"/>
    <w:rsid w:val="00B90A58"/>
    <w:rsid w:val="00B90AFE"/>
    <w:rsid w:val="00B911B0"/>
    <w:rsid w:val="00B915B3"/>
    <w:rsid w:val="00B921E9"/>
    <w:rsid w:val="00B9435E"/>
    <w:rsid w:val="00B963AF"/>
    <w:rsid w:val="00BA0F0F"/>
    <w:rsid w:val="00BA1B9A"/>
    <w:rsid w:val="00BA40A6"/>
    <w:rsid w:val="00BA5CD3"/>
    <w:rsid w:val="00BA66AB"/>
    <w:rsid w:val="00BA6DBA"/>
    <w:rsid w:val="00BA75D4"/>
    <w:rsid w:val="00BA7863"/>
    <w:rsid w:val="00BB3DF7"/>
    <w:rsid w:val="00BB5129"/>
    <w:rsid w:val="00BB5FED"/>
    <w:rsid w:val="00BB692F"/>
    <w:rsid w:val="00BB7B1C"/>
    <w:rsid w:val="00BC3688"/>
    <w:rsid w:val="00BC3DF9"/>
    <w:rsid w:val="00BC5593"/>
    <w:rsid w:val="00BC6DA7"/>
    <w:rsid w:val="00BD1354"/>
    <w:rsid w:val="00BD19C9"/>
    <w:rsid w:val="00BD1F33"/>
    <w:rsid w:val="00BD26E4"/>
    <w:rsid w:val="00BD5598"/>
    <w:rsid w:val="00BE04CC"/>
    <w:rsid w:val="00BE0813"/>
    <w:rsid w:val="00BE13D4"/>
    <w:rsid w:val="00BE2145"/>
    <w:rsid w:val="00BE3BB8"/>
    <w:rsid w:val="00BE494E"/>
    <w:rsid w:val="00BF1490"/>
    <w:rsid w:val="00BF32F4"/>
    <w:rsid w:val="00BF3C0D"/>
    <w:rsid w:val="00BF688B"/>
    <w:rsid w:val="00BF69B7"/>
    <w:rsid w:val="00C01CCD"/>
    <w:rsid w:val="00C1026C"/>
    <w:rsid w:val="00C121D0"/>
    <w:rsid w:val="00C13102"/>
    <w:rsid w:val="00C16BD0"/>
    <w:rsid w:val="00C16EFE"/>
    <w:rsid w:val="00C17BBA"/>
    <w:rsid w:val="00C20C22"/>
    <w:rsid w:val="00C23548"/>
    <w:rsid w:val="00C2384C"/>
    <w:rsid w:val="00C264D3"/>
    <w:rsid w:val="00C26A71"/>
    <w:rsid w:val="00C3489B"/>
    <w:rsid w:val="00C50777"/>
    <w:rsid w:val="00C507DF"/>
    <w:rsid w:val="00C54BB9"/>
    <w:rsid w:val="00C559F3"/>
    <w:rsid w:val="00C5754E"/>
    <w:rsid w:val="00C61E10"/>
    <w:rsid w:val="00C6219E"/>
    <w:rsid w:val="00C70F57"/>
    <w:rsid w:val="00C72443"/>
    <w:rsid w:val="00C75025"/>
    <w:rsid w:val="00C75A07"/>
    <w:rsid w:val="00C814C8"/>
    <w:rsid w:val="00C82B77"/>
    <w:rsid w:val="00C83051"/>
    <w:rsid w:val="00C86E00"/>
    <w:rsid w:val="00C907BA"/>
    <w:rsid w:val="00C9150F"/>
    <w:rsid w:val="00C920D4"/>
    <w:rsid w:val="00C93817"/>
    <w:rsid w:val="00C976E7"/>
    <w:rsid w:val="00CA1D13"/>
    <w:rsid w:val="00CA1E77"/>
    <w:rsid w:val="00CA2657"/>
    <w:rsid w:val="00CB56B6"/>
    <w:rsid w:val="00CC1485"/>
    <w:rsid w:val="00CC567F"/>
    <w:rsid w:val="00CC5A03"/>
    <w:rsid w:val="00CC6CF9"/>
    <w:rsid w:val="00CD05F2"/>
    <w:rsid w:val="00CD0E82"/>
    <w:rsid w:val="00CD1CAD"/>
    <w:rsid w:val="00CD27CC"/>
    <w:rsid w:val="00CD3458"/>
    <w:rsid w:val="00CD3915"/>
    <w:rsid w:val="00CD4548"/>
    <w:rsid w:val="00CD78B5"/>
    <w:rsid w:val="00CE2B93"/>
    <w:rsid w:val="00CE36D6"/>
    <w:rsid w:val="00CE36F6"/>
    <w:rsid w:val="00CE3817"/>
    <w:rsid w:val="00CE3990"/>
    <w:rsid w:val="00CE47BE"/>
    <w:rsid w:val="00CE50EB"/>
    <w:rsid w:val="00CE569D"/>
    <w:rsid w:val="00CE6FA4"/>
    <w:rsid w:val="00CE70CC"/>
    <w:rsid w:val="00CF1A89"/>
    <w:rsid w:val="00CF1BC0"/>
    <w:rsid w:val="00CF6A97"/>
    <w:rsid w:val="00CF7A17"/>
    <w:rsid w:val="00D02889"/>
    <w:rsid w:val="00D02999"/>
    <w:rsid w:val="00D03867"/>
    <w:rsid w:val="00D06762"/>
    <w:rsid w:val="00D06BBD"/>
    <w:rsid w:val="00D11654"/>
    <w:rsid w:val="00D117E6"/>
    <w:rsid w:val="00D14DCF"/>
    <w:rsid w:val="00D14F6B"/>
    <w:rsid w:val="00D17695"/>
    <w:rsid w:val="00D21D0D"/>
    <w:rsid w:val="00D25ADF"/>
    <w:rsid w:val="00D325B3"/>
    <w:rsid w:val="00D3321E"/>
    <w:rsid w:val="00D40D7E"/>
    <w:rsid w:val="00D41133"/>
    <w:rsid w:val="00D43324"/>
    <w:rsid w:val="00D435D2"/>
    <w:rsid w:val="00D43AC4"/>
    <w:rsid w:val="00D44555"/>
    <w:rsid w:val="00D521C3"/>
    <w:rsid w:val="00D55B22"/>
    <w:rsid w:val="00D56A66"/>
    <w:rsid w:val="00D63B3D"/>
    <w:rsid w:val="00D649EB"/>
    <w:rsid w:val="00D668D3"/>
    <w:rsid w:val="00D6700A"/>
    <w:rsid w:val="00D725E0"/>
    <w:rsid w:val="00D7542C"/>
    <w:rsid w:val="00D8263F"/>
    <w:rsid w:val="00D83025"/>
    <w:rsid w:val="00D84233"/>
    <w:rsid w:val="00D90557"/>
    <w:rsid w:val="00D9097D"/>
    <w:rsid w:val="00D909DC"/>
    <w:rsid w:val="00D90F1D"/>
    <w:rsid w:val="00D9198D"/>
    <w:rsid w:val="00D91F9F"/>
    <w:rsid w:val="00D939C3"/>
    <w:rsid w:val="00D94459"/>
    <w:rsid w:val="00D96F47"/>
    <w:rsid w:val="00DA1BA6"/>
    <w:rsid w:val="00DB3EA3"/>
    <w:rsid w:val="00DB40C5"/>
    <w:rsid w:val="00DB4A92"/>
    <w:rsid w:val="00DB563C"/>
    <w:rsid w:val="00DB7809"/>
    <w:rsid w:val="00DC141E"/>
    <w:rsid w:val="00DC370F"/>
    <w:rsid w:val="00DC558E"/>
    <w:rsid w:val="00DC7F2E"/>
    <w:rsid w:val="00DD36E8"/>
    <w:rsid w:val="00DD3FC9"/>
    <w:rsid w:val="00DD552A"/>
    <w:rsid w:val="00DE6685"/>
    <w:rsid w:val="00DE7BA2"/>
    <w:rsid w:val="00DF02DC"/>
    <w:rsid w:val="00DF1590"/>
    <w:rsid w:val="00DF15B7"/>
    <w:rsid w:val="00DF6F0B"/>
    <w:rsid w:val="00E02753"/>
    <w:rsid w:val="00E02FF0"/>
    <w:rsid w:val="00E04D0A"/>
    <w:rsid w:val="00E073EC"/>
    <w:rsid w:val="00E1135C"/>
    <w:rsid w:val="00E126F0"/>
    <w:rsid w:val="00E1330F"/>
    <w:rsid w:val="00E20063"/>
    <w:rsid w:val="00E201FD"/>
    <w:rsid w:val="00E20828"/>
    <w:rsid w:val="00E24F73"/>
    <w:rsid w:val="00E36BAD"/>
    <w:rsid w:val="00E4229E"/>
    <w:rsid w:val="00E44390"/>
    <w:rsid w:val="00E45CF5"/>
    <w:rsid w:val="00E529D9"/>
    <w:rsid w:val="00E539B2"/>
    <w:rsid w:val="00E65118"/>
    <w:rsid w:val="00E65C8F"/>
    <w:rsid w:val="00E66055"/>
    <w:rsid w:val="00E67291"/>
    <w:rsid w:val="00E70758"/>
    <w:rsid w:val="00E70E7B"/>
    <w:rsid w:val="00E71758"/>
    <w:rsid w:val="00E747DD"/>
    <w:rsid w:val="00E81262"/>
    <w:rsid w:val="00E81664"/>
    <w:rsid w:val="00E84E8E"/>
    <w:rsid w:val="00E857FD"/>
    <w:rsid w:val="00E85920"/>
    <w:rsid w:val="00E872B0"/>
    <w:rsid w:val="00E87B48"/>
    <w:rsid w:val="00E90E13"/>
    <w:rsid w:val="00E915D8"/>
    <w:rsid w:val="00E9389F"/>
    <w:rsid w:val="00E93A95"/>
    <w:rsid w:val="00E93BB9"/>
    <w:rsid w:val="00EA0282"/>
    <w:rsid w:val="00EA17D9"/>
    <w:rsid w:val="00EA35B3"/>
    <w:rsid w:val="00EA3950"/>
    <w:rsid w:val="00EA4346"/>
    <w:rsid w:val="00EA495D"/>
    <w:rsid w:val="00EA63A1"/>
    <w:rsid w:val="00EB1A20"/>
    <w:rsid w:val="00EB1CB1"/>
    <w:rsid w:val="00EB2D51"/>
    <w:rsid w:val="00EB4254"/>
    <w:rsid w:val="00EB62F1"/>
    <w:rsid w:val="00EB7AAC"/>
    <w:rsid w:val="00EC132E"/>
    <w:rsid w:val="00EC4447"/>
    <w:rsid w:val="00EC4F0A"/>
    <w:rsid w:val="00EC709C"/>
    <w:rsid w:val="00ED0A1A"/>
    <w:rsid w:val="00ED3C70"/>
    <w:rsid w:val="00ED7068"/>
    <w:rsid w:val="00ED78FE"/>
    <w:rsid w:val="00EE2DA3"/>
    <w:rsid w:val="00EE603E"/>
    <w:rsid w:val="00EF1F4C"/>
    <w:rsid w:val="00EF2CF8"/>
    <w:rsid w:val="00EF59DB"/>
    <w:rsid w:val="00F018C5"/>
    <w:rsid w:val="00F04015"/>
    <w:rsid w:val="00F04B7E"/>
    <w:rsid w:val="00F065DB"/>
    <w:rsid w:val="00F14015"/>
    <w:rsid w:val="00F16783"/>
    <w:rsid w:val="00F230F6"/>
    <w:rsid w:val="00F2381D"/>
    <w:rsid w:val="00F24294"/>
    <w:rsid w:val="00F244A0"/>
    <w:rsid w:val="00F24B54"/>
    <w:rsid w:val="00F25FB9"/>
    <w:rsid w:val="00F31307"/>
    <w:rsid w:val="00F332DB"/>
    <w:rsid w:val="00F340FD"/>
    <w:rsid w:val="00F36BBA"/>
    <w:rsid w:val="00F37E18"/>
    <w:rsid w:val="00F4056D"/>
    <w:rsid w:val="00F44393"/>
    <w:rsid w:val="00F4441B"/>
    <w:rsid w:val="00F50269"/>
    <w:rsid w:val="00F532CC"/>
    <w:rsid w:val="00F543E8"/>
    <w:rsid w:val="00F54BE0"/>
    <w:rsid w:val="00F568C6"/>
    <w:rsid w:val="00F6106E"/>
    <w:rsid w:val="00F61DB6"/>
    <w:rsid w:val="00F62061"/>
    <w:rsid w:val="00F6683C"/>
    <w:rsid w:val="00F710B3"/>
    <w:rsid w:val="00F73D7E"/>
    <w:rsid w:val="00F76DEB"/>
    <w:rsid w:val="00F80DC2"/>
    <w:rsid w:val="00F81A4A"/>
    <w:rsid w:val="00F832C6"/>
    <w:rsid w:val="00F850D8"/>
    <w:rsid w:val="00F8510B"/>
    <w:rsid w:val="00F91466"/>
    <w:rsid w:val="00F91844"/>
    <w:rsid w:val="00F9194D"/>
    <w:rsid w:val="00F925F1"/>
    <w:rsid w:val="00FA08B7"/>
    <w:rsid w:val="00FA2778"/>
    <w:rsid w:val="00FA2FA4"/>
    <w:rsid w:val="00FA388B"/>
    <w:rsid w:val="00FA5583"/>
    <w:rsid w:val="00FA5BE7"/>
    <w:rsid w:val="00FA6F6B"/>
    <w:rsid w:val="00FB0A69"/>
    <w:rsid w:val="00FB0C7F"/>
    <w:rsid w:val="00FB14C4"/>
    <w:rsid w:val="00FB2C8E"/>
    <w:rsid w:val="00FC0AE3"/>
    <w:rsid w:val="00FC1BC3"/>
    <w:rsid w:val="00FC4120"/>
    <w:rsid w:val="00FC4FB9"/>
    <w:rsid w:val="00FC6F70"/>
    <w:rsid w:val="00FC7F62"/>
    <w:rsid w:val="00FD27D1"/>
    <w:rsid w:val="00FD4C5E"/>
    <w:rsid w:val="00FD536F"/>
    <w:rsid w:val="00FD543C"/>
    <w:rsid w:val="00FE1471"/>
    <w:rsid w:val="00FE24E3"/>
    <w:rsid w:val="00FE2F82"/>
    <w:rsid w:val="00FE3D2C"/>
    <w:rsid w:val="00FE40A3"/>
    <w:rsid w:val="00FE5E48"/>
    <w:rsid w:val="00FE66D0"/>
    <w:rsid w:val="00FE7396"/>
    <w:rsid w:val="00FE7E77"/>
    <w:rsid w:val="00FF32B9"/>
    <w:rsid w:val="00FF5CED"/>
    <w:rsid w:val="00FF60AC"/>
    <w:rsid w:val="00FF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4F1062"/>
  <w15:docId w15:val="{4B1DE49F-5AF3-4E21-9188-D782F688B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3D72"/>
    <w:pPr>
      <w:spacing w:after="220" w:line="240" w:lineRule="auto"/>
      <w:jc w:val="both"/>
    </w:pPr>
    <w:rPr>
      <w:color w:val="000000"/>
    </w:rPr>
  </w:style>
  <w:style w:type="paragraph" w:styleId="Nadpis1">
    <w:name w:val="heading 1"/>
    <w:basedOn w:val="Normln"/>
    <w:next w:val="Normln"/>
    <w:link w:val="Nadpis1Char"/>
    <w:uiPriority w:val="2"/>
    <w:qFormat/>
    <w:rsid w:val="00773D72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773D72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773D72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Nadpis4">
    <w:name w:val="heading 4"/>
    <w:basedOn w:val="Normln"/>
    <w:next w:val="Normln"/>
    <w:link w:val="Nadpis4Char"/>
    <w:uiPriority w:val="2"/>
    <w:qFormat/>
    <w:rsid w:val="00773D72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Nadpis5">
    <w:name w:val="heading 5"/>
    <w:basedOn w:val="Normln"/>
    <w:next w:val="Normln"/>
    <w:link w:val="Nadpis5Char"/>
    <w:uiPriority w:val="2"/>
    <w:qFormat/>
    <w:rsid w:val="00773D72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2"/>
    <w:qFormat/>
    <w:rsid w:val="00773D72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74446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4446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4446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28"/>
    </w:rPr>
  </w:style>
  <w:style w:type="character" w:customStyle="1" w:styleId="Nadpis4Char">
    <w:name w:val="Nadpis 4 Char"/>
    <w:basedOn w:val="Standardnpsmoodstavce"/>
    <w:link w:val="Nadpis4"/>
    <w:uiPriority w:val="2"/>
    <w:rsid w:val="00773D72"/>
    <w:rPr>
      <w:rFonts w:asciiTheme="majorHAnsi" w:eastAsiaTheme="majorEastAsia" w:hAnsiTheme="majorHAnsi" w:cstheme="majorBidi"/>
      <w:b/>
      <w:bCs/>
      <w:iCs/>
      <w:color w:val="000000"/>
      <w:sz w:val="26"/>
    </w:rPr>
  </w:style>
  <w:style w:type="character" w:customStyle="1" w:styleId="Nadpis5Char">
    <w:name w:val="Nadpis 5 Char"/>
    <w:basedOn w:val="Standardnpsmoodstavce"/>
    <w:link w:val="Nadpis5"/>
    <w:uiPriority w:val="2"/>
    <w:rsid w:val="00773D72"/>
    <w:rPr>
      <w:rFonts w:asciiTheme="majorHAnsi" w:eastAsiaTheme="majorEastAsia" w:hAnsiTheme="majorHAnsi" w:cstheme="majorBidi"/>
      <w:b/>
      <w:color w:val="000000"/>
      <w:sz w:val="24"/>
    </w:rPr>
  </w:style>
  <w:style w:type="character" w:customStyle="1" w:styleId="Nadpis6Char">
    <w:name w:val="Nadpis 6 Char"/>
    <w:basedOn w:val="Standardnpsmoodstavce"/>
    <w:link w:val="Nadpis6"/>
    <w:uiPriority w:val="2"/>
    <w:rsid w:val="00773D72"/>
    <w:rPr>
      <w:rFonts w:asciiTheme="majorHAnsi" w:eastAsiaTheme="majorEastAsia" w:hAnsiTheme="majorHAnsi" w:cstheme="majorBidi"/>
      <w:b/>
      <w:iCs/>
      <w:color w:val="00000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444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444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444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abulkazhlav">
    <w:name w:val="Tabulka záhlaví"/>
    <w:basedOn w:val="Normln"/>
    <w:link w:val="TabulkazhlavChar"/>
    <w:uiPriority w:val="6"/>
    <w:qFormat/>
    <w:rsid w:val="00A47B09"/>
    <w:pPr>
      <w:spacing w:before="60" w:after="60"/>
      <w:ind w:left="57" w:right="57"/>
      <w:jc w:val="left"/>
    </w:pPr>
    <w:rPr>
      <w:b/>
      <w:color w:val="080808"/>
      <w:sz w:val="20"/>
    </w:rPr>
  </w:style>
  <w:style w:type="character" w:customStyle="1" w:styleId="TabulkazhlavChar">
    <w:name w:val="Tabulka záhlaví Char"/>
    <w:basedOn w:val="Standardnpsmoodstavce"/>
    <w:link w:val="Tabulkazhlav"/>
    <w:uiPriority w:val="6"/>
    <w:rsid w:val="00A47B09"/>
    <w:rPr>
      <w:b/>
      <w:color w:val="080808"/>
      <w:sz w:val="20"/>
    </w:rPr>
  </w:style>
  <w:style w:type="paragraph" w:customStyle="1" w:styleId="Tabulkatext">
    <w:name w:val="Tabulka text"/>
    <w:link w:val="TabulkatextChar"/>
    <w:uiPriority w:val="6"/>
    <w:qFormat/>
    <w:rsid w:val="00A47B0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47B09"/>
    <w:rPr>
      <w:color w:val="080808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446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46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4446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44469"/>
  </w:style>
  <w:style w:type="paragraph" w:styleId="Zpat">
    <w:name w:val="footer"/>
    <w:basedOn w:val="Normln"/>
    <w:link w:val="ZpatChar"/>
    <w:uiPriority w:val="99"/>
    <w:unhideWhenUsed/>
    <w:rsid w:val="00744469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744469"/>
    <w:rPr>
      <w:sz w:val="18"/>
    </w:rPr>
  </w:style>
  <w:style w:type="table" w:styleId="Mkatabulky">
    <w:name w:val="Table Grid"/>
    <w:basedOn w:val="Normlntabulka"/>
    <w:uiPriority w:val="59"/>
    <w:rsid w:val="00A47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zev">
    <w:name w:val="Title"/>
    <w:basedOn w:val="Normln"/>
    <w:link w:val="NzevChar"/>
    <w:uiPriority w:val="14"/>
    <w:qFormat/>
    <w:rsid w:val="00773D72"/>
    <w:pPr>
      <w:spacing w:after="0" w:line="312" w:lineRule="auto"/>
      <w:contextualSpacing/>
      <w:jc w:val="left"/>
    </w:pPr>
    <w:rPr>
      <w:rFonts w:asciiTheme="majorHAnsi" w:eastAsiaTheme="majorEastAsia" w:hAnsiTheme="majorHAnsi" w:cstheme="majorBidi"/>
      <w:b/>
      <w:caps/>
      <w:kern w:val="28"/>
      <w:sz w:val="64"/>
      <w:szCs w:val="52"/>
    </w:rPr>
  </w:style>
  <w:style w:type="character" w:customStyle="1" w:styleId="NzevChar">
    <w:name w:val="Název Char"/>
    <w:basedOn w:val="Standardnpsmoodstavce"/>
    <w:link w:val="Nzev"/>
    <w:uiPriority w:val="14"/>
    <w:rsid w:val="00773D72"/>
    <w:rPr>
      <w:rFonts w:asciiTheme="majorHAnsi" w:eastAsiaTheme="majorEastAsia" w:hAnsiTheme="majorHAnsi" w:cstheme="majorBidi"/>
      <w:b/>
      <w:caps/>
      <w:color w:val="000000"/>
      <w:kern w:val="28"/>
      <w:sz w:val="64"/>
      <w:szCs w:val="52"/>
    </w:rPr>
  </w:style>
  <w:style w:type="paragraph" w:styleId="Podnadpis">
    <w:name w:val="Subtitle"/>
    <w:basedOn w:val="Normln"/>
    <w:next w:val="Normln"/>
    <w:link w:val="PodnadpisChar"/>
    <w:uiPriority w:val="15"/>
    <w:qFormat/>
    <w:rsid w:val="00773D72"/>
    <w:pPr>
      <w:numPr>
        <w:ilvl w:val="1"/>
      </w:numPr>
      <w:ind w:left="113"/>
      <w:jc w:val="left"/>
    </w:pPr>
    <w:rPr>
      <w:rFonts w:asciiTheme="majorHAnsi" w:eastAsiaTheme="majorEastAsia" w:hAnsiTheme="majorHAnsi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5"/>
    <w:rsid w:val="00773D72"/>
    <w:rPr>
      <w:rFonts w:asciiTheme="majorHAnsi" w:eastAsiaTheme="majorEastAsia" w:hAnsiTheme="majorHAnsi" w:cstheme="majorBidi"/>
      <w:b/>
      <w:iCs/>
      <w:color w:val="000000"/>
      <w:sz w:val="36"/>
      <w:szCs w:val="24"/>
    </w:rPr>
  </w:style>
  <w:style w:type="paragraph" w:customStyle="1" w:styleId="Nadpis1neslovan-jevobsahu">
    <w:name w:val="Nadpis 1 nečíslovaný - je v obsahu"/>
    <w:basedOn w:val="Nadpis1"/>
    <w:next w:val="Normln"/>
    <w:link w:val="Nadpis1neslovan-jevobsahuChar"/>
    <w:uiPriority w:val="4"/>
    <w:qFormat/>
    <w:rsid w:val="0011753D"/>
    <w:pPr>
      <w:numPr>
        <w:numId w:val="0"/>
      </w:numPr>
    </w:pPr>
  </w:style>
  <w:style w:type="character" w:customStyle="1" w:styleId="Nadpis1neslovan-jevobsahuChar">
    <w:name w:val="Nadpis 1 nečíslovaný - je v obsahu Char"/>
    <w:basedOn w:val="Nadpis1Char"/>
    <w:link w:val="Nadpis1neslovan-jevobsahu"/>
    <w:uiPriority w:val="4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4548E9"/>
    <w:pPr>
      <w:tabs>
        <w:tab w:val="left" w:pos="397"/>
        <w:tab w:val="right" w:leader="dot" w:pos="9060"/>
      </w:tabs>
      <w:spacing w:before="100" w:after="100"/>
      <w:jc w:val="left"/>
    </w:pPr>
    <w:rPr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4548E9"/>
    <w:pPr>
      <w:tabs>
        <w:tab w:val="left" w:pos="907"/>
        <w:tab w:val="right" w:leader="dot" w:pos="9061"/>
      </w:tabs>
      <w:spacing w:after="0"/>
      <w:ind w:left="397"/>
      <w:jc w:val="left"/>
    </w:pPr>
    <w:rPr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4548E9"/>
    <w:pPr>
      <w:tabs>
        <w:tab w:val="left" w:pos="1134"/>
        <w:tab w:val="right" w:leader="dot" w:pos="9060"/>
      </w:tabs>
      <w:spacing w:after="0"/>
      <w:ind w:left="397"/>
      <w:jc w:val="left"/>
    </w:pPr>
    <w:rPr>
      <w:iCs/>
      <w:noProof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4548E9"/>
    <w:pPr>
      <w:tabs>
        <w:tab w:val="left" w:pos="1361"/>
        <w:tab w:val="right" w:leader="dot" w:pos="9060"/>
      </w:tabs>
      <w:spacing w:after="0"/>
      <w:ind w:left="397"/>
    </w:pPr>
    <w:rPr>
      <w:sz w:val="20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2B6E2F"/>
    <w:pPr>
      <w:tabs>
        <w:tab w:val="left" w:pos="1588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2B6E2F"/>
    <w:pPr>
      <w:tabs>
        <w:tab w:val="left" w:pos="1871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7E732D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7E732D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7E732D"/>
    <w:pPr>
      <w:spacing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7E732D"/>
    <w:rPr>
      <w:color w:val="505050" w:themeColor="hyperlink"/>
      <w:u w:val="single"/>
    </w:rPr>
  </w:style>
  <w:style w:type="paragraph" w:customStyle="1" w:styleId="Nadpis1neslovan-nenvobsahu">
    <w:name w:val="Nadpis 1 nečíslovaný - není v obsahu"/>
    <w:link w:val="Nadpis1neslovan-nenvobsahuChar"/>
    <w:uiPriority w:val="4"/>
    <w:qFormat/>
    <w:rsid w:val="00773D72"/>
    <w:pPr>
      <w:keepNext/>
      <w:pageBreakBefore/>
      <w:spacing w:after="360" w:line="240" w:lineRule="auto"/>
    </w:pPr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1neslovan-nenvobsahuChar">
    <w:name w:val="Nadpis 1 nečíslovaný - není v obsahu Char"/>
    <w:basedOn w:val="Nadpis1neslovan-jevobsahuChar"/>
    <w:link w:val="Nadpis1neslovan-nenvobsahu"/>
    <w:uiPriority w:val="4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paragraph" w:styleId="Odstavecseseznamem">
    <w:name w:val="List Paragraph"/>
    <w:aliases w:val="Odstavec_muj,Nad,List Paragraph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9D6602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_muj1 Char,Odstavec_muj2 Char,Odstavec_muj3 Char,Nad1 Char,List Paragraph1 Char,Odstavec_muj4 Char,Nad2 Char,List Paragraph2 Char,Odstavec_muj5 Char,Odstavec_muj6 Char"/>
    <w:basedOn w:val="Standardnpsmoodstavce"/>
    <w:link w:val="Odstavecseseznamem"/>
    <w:uiPriority w:val="34"/>
    <w:rsid w:val="009D6602"/>
  </w:style>
  <w:style w:type="paragraph" w:customStyle="1" w:styleId="Odrky1">
    <w:name w:val="Odrážky 1"/>
    <w:basedOn w:val="Odstavecseseznamem"/>
    <w:link w:val="Odrky1Char"/>
    <w:uiPriority w:val="5"/>
    <w:qFormat/>
    <w:rsid w:val="0020570D"/>
    <w:pPr>
      <w:numPr>
        <w:numId w:val="2"/>
      </w:numPr>
    </w:pPr>
  </w:style>
  <w:style w:type="character" w:customStyle="1" w:styleId="Odrky1Char">
    <w:name w:val="Odrážky 1 Char"/>
    <w:basedOn w:val="OdstavecseseznamemChar"/>
    <w:link w:val="Odrky1"/>
    <w:uiPriority w:val="5"/>
    <w:rsid w:val="006D7FC5"/>
  </w:style>
  <w:style w:type="table" w:styleId="Stednstnovn1zvraznn1">
    <w:name w:val="Medium Shading 1 Accent 1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7B7B7B" w:themeColor="accent1" w:themeTint="BF"/>
        <w:left w:val="single" w:sz="8" w:space="0" w:color="7B7B7B" w:themeColor="accent1" w:themeTint="BF"/>
        <w:bottom w:val="single" w:sz="8" w:space="0" w:color="7B7B7B" w:themeColor="accent1" w:themeTint="BF"/>
        <w:right w:val="single" w:sz="8" w:space="0" w:color="7B7B7B" w:themeColor="accent1" w:themeTint="BF"/>
        <w:insideH w:val="single" w:sz="8" w:space="0" w:color="7B7B7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  <w:shd w:val="clear" w:color="auto" w:fill="50505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ulek">
    <w:name w:val="caption"/>
    <w:basedOn w:val="Normln"/>
    <w:next w:val="Normln"/>
    <w:link w:val="TitulekChar"/>
    <w:uiPriority w:val="9"/>
    <w:unhideWhenUsed/>
    <w:qFormat/>
    <w:rsid w:val="00F37E18"/>
    <w:pPr>
      <w:spacing w:after="110"/>
    </w:pPr>
    <w:rPr>
      <w:b/>
      <w:bCs/>
      <w:sz w:val="18"/>
      <w:szCs w:val="18"/>
    </w:rPr>
  </w:style>
  <w:style w:type="character" w:customStyle="1" w:styleId="TitulekChar">
    <w:name w:val="Titulek Char"/>
    <w:basedOn w:val="Standardnpsmoodstavce"/>
    <w:link w:val="Titulek"/>
    <w:uiPriority w:val="9"/>
    <w:rsid w:val="00F37E18"/>
    <w:rPr>
      <w:b/>
      <w:bCs/>
      <w:sz w:val="18"/>
      <w:szCs w:val="18"/>
    </w:rPr>
  </w:style>
  <w:style w:type="table" w:styleId="Stednstnovn1zvraznn6">
    <w:name w:val="Medium Shading 1 Accent 6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ouitzdroje">
    <w:name w:val="Použité zdroje"/>
    <w:basedOn w:val="Odstavecseseznamem"/>
    <w:link w:val="PouitzdrojeChar"/>
    <w:uiPriority w:val="13"/>
    <w:qFormat/>
    <w:rsid w:val="00FE1471"/>
    <w:pPr>
      <w:numPr>
        <w:numId w:val="3"/>
      </w:numPr>
      <w:spacing w:after="0"/>
    </w:pPr>
  </w:style>
  <w:style w:type="character" w:customStyle="1" w:styleId="PouitzdrojeChar">
    <w:name w:val="Použité zdroje Char"/>
    <w:basedOn w:val="OdstavecseseznamemChar"/>
    <w:link w:val="Pouitzdroje"/>
    <w:uiPriority w:val="13"/>
    <w:rsid w:val="00FC7F62"/>
  </w:style>
  <w:style w:type="paragraph" w:customStyle="1" w:styleId="Plohy">
    <w:name w:val="Přílohy"/>
    <w:basedOn w:val="Odstavecseseznamem"/>
    <w:link w:val="PlohyChar"/>
    <w:uiPriority w:val="13"/>
    <w:qFormat/>
    <w:rsid w:val="00FE1471"/>
    <w:pPr>
      <w:numPr>
        <w:numId w:val="4"/>
      </w:numPr>
    </w:pPr>
  </w:style>
  <w:style w:type="character" w:customStyle="1" w:styleId="PlohyChar">
    <w:name w:val="Přílohy Char"/>
    <w:basedOn w:val="OdstavecseseznamemChar"/>
    <w:link w:val="Plohy"/>
    <w:uiPriority w:val="13"/>
    <w:rsid w:val="00FC7F62"/>
  </w:style>
  <w:style w:type="paragraph" w:customStyle="1" w:styleId="Odrky2">
    <w:name w:val="Odrážky 2"/>
    <w:basedOn w:val="Odrky1"/>
    <w:link w:val="Odrky2Char"/>
    <w:uiPriority w:val="5"/>
    <w:qFormat/>
    <w:rsid w:val="00306C59"/>
    <w:pPr>
      <w:numPr>
        <w:ilvl w:val="1"/>
      </w:numPr>
    </w:pPr>
  </w:style>
  <w:style w:type="character" w:customStyle="1" w:styleId="Odrky2Char">
    <w:name w:val="Odrážky 2 Char"/>
    <w:basedOn w:val="Odrky1Char"/>
    <w:link w:val="Odrky2"/>
    <w:uiPriority w:val="5"/>
    <w:rsid w:val="006D7FC5"/>
  </w:style>
  <w:style w:type="paragraph" w:customStyle="1" w:styleId="Normlnodsazenshora">
    <w:name w:val="Normální odsazen shora"/>
    <w:basedOn w:val="Normln"/>
    <w:next w:val="Normln"/>
    <w:link w:val="NormlnodsazenshoraChar"/>
    <w:uiPriority w:val="17"/>
    <w:qFormat/>
    <w:rsid w:val="007D0935"/>
    <w:pPr>
      <w:spacing w:before="220"/>
    </w:pPr>
  </w:style>
  <w:style w:type="character" w:customStyle="1" w:styleId="NormlnodsazenshoraChar">
    <w:name w:val="Normální odsazen shora Char"/>
    <w:basedOn w:val="Standardnpsmoodstavce"/>
    <w:link w:val="Normlnodsazenshora"/>
    <w:uiPriority w:val="17"/>
    <w:rsid w:val="00C26A71"/>
  </w:style>
  <w:style w:type="paragraph" w:customStyle="1" w:styleId="Seznamobrzkatabulek">
    <w:name w:val="Seznam obrázků a tabulek"/>
    <w:basedOn w:val="Nadpis1neslovan-nenvobsahu"/>
    <w:next w:val="Normln"/>
    <w:link w:val="SeznamobrzkatabulekChar"/>
    <w:uiPriority w:val="19"/>
    <w:qFormat/>
    <w:rsid w:val="00057C9B"/>
    <w:pPr>
      <w:pageBreakBefore w:val="0"/>
      <w:spacing w:before="220"/>
    </w:pPr>
  </w:style>
  <w:style w:type="character" w:customStyle="1" w:styleId="SeznamobrzkatabulekChar">
    <w:name w:val="Seznam obrázků a tabulek Char"/>
    <w:basedOn w:val="Nadpis1neslovan-nenvobsahuChar"/>
    <w:link w:val="Seznamobrzkatabulek"/>
    <w:uiPriority w:val="19"/>
    <w:rsid w:val="002D7766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Seznamobrzk">
    <w:name w:val="table of figures"/>
    <w:basedOn w:val="Normln"/>
    <w:next w:val="Normln"/>
    <w:uiPriority w:val="99"/>
    <w:unhideWhenUsed/>
    <w:rsid w:val="00F25FB9"/>
    <w:pPr>
      <w:spacing w:after="0"/>
    </w:pPr>
  </w:style>
  <w:style w:type="paragraph" w:customStyle="1" w:styleId="Titulekobrzku">
    <w:name w:val="Titulek obrázku"/>
    <w:basedOn w:val="Titulek"/>
    <w:next w:val="Normlnodsazenshora"/>
    <w:link w:val="TitulekobrzkuChar"/>
    <w:uiPriority w:val="10"/>
    <w:qFormat/>
    <w:rsid w:val="00C26A71"/>
    <w:pPr>
      <w:spacing w:after="0"/>
      <w:jc w:val="center"/>
    </w:pPr>
  </w:style>
  <w:style w:type="character" w:customStyle="1" w:styleId="TitulekobrzkuChar">
    <w:name w:val="Titulek obrázku Char"/>
    <w:basedOn w:val="TitulekChar"/>
    <w:link w:val="Titulekobrzku"/>
    <w:uiPriority w:val="10"/>
    <w:rsid w:val="00FC7F62"/>
    <w:rPr>
      <w:b/>
      <w:bCs/>
      <w:sz w:val="18"/>
      <w:szCs w:val="18"/>
    </w:rPr>
  </w:style>
  <w:style w:type="paragraph" w:styleId="Bezmezer">
    <w:name w:val="No Spacing"/>
    <w:link w:val="BezmezerChar"/>
    <w:uiPriority w:val="3"/>
    <w:qFormat/>
    <w:rsid w:val="00773D72"/>
    <w:pPr>
      <w:spacing w:after="0"/>
    </w:pPr>
    <w:rPr>
      <w:color w:val="000000"/>
    </w:rPr>
  </w:style>
  <w:style w:type="character" w:customStyle="1" w:styleId="BezmezerChar">
    <w:name w:val="Bez mezer Char"/>
    <w:basedOn w:val="Standardnpsmoodstavce"/>
    <w:link w:val="Bezmezer"/>
    <w:uiPriority w:val="3"/>
    <w:rsid w:val="00773D72"/>
    <w:rPr>
      <w:color w:val="000000"/>
    </w:rPr>
  </w:style>
  <w:style w:type="paragraph" w:customStyle="1" w:styleId="Odrky3">
    <w:name w:val="Odrážky 3"/>
    <w:basedOn w:val="Odrky2"/>
    <w:link w:val="Odrky3Char"/>
    <w:uiPriority w:val="5"/>
    <w:qFormat/>
    <w:rsid w:val="004354DE"/>
    <w:pPr>
      <w:numPr>
        <w:ilvl w:val="2"/>
      </w:numPr>
    </w:pPr>
  </w:style>
  <w:style w:type="character" w:customStyle="1" w:styleId="Odrky3Char">
    <w:name w:val="Odrážky 3 Char"/>
    <w:basedOn w:val="Odrky2Char"/>
    <w:link w:val="Odrky3"/>
    <w:uiPriority w:val="5"/>
    <w:rsid w:val="006D7FC5"/>
  </w:style>
  <w:style w:type="paragraph" w:customStyle="1" w:styleId="slovn1">
    <w:name w:val="Číslování 1"/>
    <w:basedOn w:val="Odstavecseseznamem"/>
    <w:link w:val="slovn1Char"/>
    <w:uiPriority w:val="5"/>
    <w:qFormat/>
    <w:rsid w:val="004D73F0"/>
    <w:pPr>
      <w:numPr>
        <w:numId w:val="17"/>
      </w:numPr>
    </w:pPr>
  </w:style>
  <w:style w:type="character" w:customStyle="1" w:styleId="slovn1Char">
    <w:name w:val="Číslování 1 Char"/>
    <w:basedOn w:val="NormlnodsazenshoraChar"/>
    <w:link w:val="slovn1"/>
    <w:uiPriority w:val="5"/>
    <w:rsid w:val="004D73F0"/>
  </w:style>
  <w:style w:type="paragraph" w:customStyle="1" w:styleId="slovn2">
    <w:name w:val="Číslování 2"/>
    <w:basedOn w:val="slovn1"/>
    <w:link w:val="slovn2Char"/>
    <w:uiPriority w:val="5"/>
    <w:qFormat/>
    <w:rsid w:val="004D73F0"/>
    <w:pPr>
      <w:numPr>
        <w:ilvl w:val="1"/>
      </w:numPr>
    </w:pPr>
  </w:style>
  <w:style w:type="character" w:customStyle="1" w:styleId="slovn2Char">
    <w:name w:val="Číslování 2 Char"/>
    <w:basedOn w:val="slovn1Char"/>
    <w:link w:val="slovn2"/>
    <w:uiPriority w:val="5"/>
    <w:rsid w:val="004D73F0"/>
  </w:style>
  <w:style w:type="paragraph" w:customStyle="1" w:styleId="slovn3">
    <w:name w:val="Číslování 3"/>
    <w:basedOn w:val="slovn2"/>
    <w:link w:val="slovn3Char"/>
    <w:uiPriority w:val="5"/>
    <w:qFormat/>
    <w:rsid w:val="004D73F0"/>
    <w:pPr>
      <w:numPr>
        <w:ilvl w:val="2"/>
      </w:numPr>
    </w:pPr>
  </w:style>
  <w:style w:type="character" w:customStyle="1" w:styleId="slovn3Char">
    <w:name w:val="Číslování 3 Char"/>
    <w:basedOn w:val="slovn2Char"/>
    <w:link w:val="slovn3"/>
    <w:uiPriority w:val="5"/>
    <w:rsid w:val="004D73F0"/>
  </w:style>
  <w:style w:type="character" w:customStyle="1" w:styleId="Bezbarvy">
    <w:name w:val="Bez barvy"/>
    <w:uiPriority w:val="9"/>
    <w:qFormat/>
    <w:rsid w:val="001673AF"/>
    <w:rPr>
      <w:bdr w:val="none" w:sz="0" w:space="0" w:color="auto"/>
      <w:shd w:val="clear" w:color="auto" w:fill="auto"/>
    </w:rPr>
  </w:style>
  <w:style w:type="character" w:customStyle="1" w:styleId="erven">
    <w:name w:val="Červeně"/>
    <w:uiPriority w:val="8"/>
    <w:qFormat/>
    <w:rsid w:val="001673AF"/>
    <w:rPr>
      <w:bdr w:val="none" w:sz="0" w:space="0" w:color="auto"/>
      <w:shd w:val="clear" w:color="auto" w:fill="FF0000"/>
    </w:rPr>
  </w:style>
  <w:style w:type="character" w:customStyle="1" w:styleId="Zelen">
    <w:name w:val="Zeleně"/>
    <w:uiPriority w:val="8"/>
    <w:qFormat/>
    <w:rsid w:val="001673AF"/>
    <w:rPr>
      <w:bdr w:val="none" w:sz="0" w:space="0" w:color="auto"/>
      <w:shd w:val="clear" w:color="auto" w:fill="92D050"/>
    </w:rPr>
  </w:style>
  <w:style w:type="character" w:customStyle="1" w:styleId="lut">
    <w:name w:val="Žlutě"/>
    <w:uiPriority w:val="7"/>
    <w:qFormat/>
    <w:rsid w:val="001673AF"/>
    <w:rPr>
      <w:rFonts w:asciiTheme="minorHAnsi" w:hAnsiTheme="minorHAnsi"/>
      <w:bdr w:val="none" w:sz="0" w:space="0" w:color="auto"/>
      <w:shd w:val="clear" w:color="auto" w:fill="FFFF00"/>
    </w:rPr>
  </w:style>
  <w:style w:type="paragraph" w:customStyle="1" w:styleId="slovn4">
    <w:name w:val="Číslování 4"/>
    <w:basedOn w:val="slovn3"/>
    <w:link w:val="slovn4Char"/>
    <w:uiPriority w:val="5"/>
    <w:qFormat/>
    <w:rsid w:val="004D73F0"/>
    <w:pPr>
      <w:numPr>
        <w:ilvl w:val="3"/>
      </w:numPr>
    </w:pPr>
  </w:style>
  <w:style w:type="character" w:customStyle="1" w:styleId="slovn4Char">
    <w:name w:val="Číslování 4 Char"/>
    <w:basedOn w:val="slovn3Char"/>
    <w:link w:val="slovn4"/>
    <w:uiPriority w:val="5"/>
    <w:rsid w:val="004D73F0"/>
  </w:style>
  <w:style w:type="paragraph" w:customStyle="1" w:styleId="Nadpis1neslovan">
    <w:name w:val="Nadpis 1 nečíslovaný"/>
    <w:aliases w:val="není v obsahu a není konec stránky před"/>
    <w:basedOn w:val="Nadpis1neslovan-nenvobsahu"/>
    <w:next w:val="Normln"/>
    <w:link w:val="Nadpis1neslovanChar"/>
    <w:uiPriority w:val="18"/>
    <w:qFormat/>
    <w:rsid w:val="00BD26E4"/>
    <w:pPr>
      <w:pageBreakBefore w:val="0"/>
      <w:spacing w:before="360"/>
    </w:pPr>
  </w:style>
  <w:style w:type="character" w:customStyle="1" w:styleId="Nadpis1neslovanChar">
    <w:name w:val="Nadpis 1 nečíslovaný Char"/>
    <w:aliases w:val="není v obsahu a není konec stránky před Char"/>
    <w:basedOn w:val="Nadpis1neslovan-nenvobsahuChar"/>
    <w:link w:val="Nadpis1neslovan"/>
    <w:uiPriority w:val="18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Textpoznpodarou">
    <w:name w:val="footnote text"/>
    <w:basedOn w:val="Normln"/>
    <w:link w:val="TextpoznpodarouChar"/>
    <w:uiPriority w:val="99"/>
    <w:rsid w:val="00C72443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72443"/>
    <w:rPr>
      <w:sz w:val="18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F332DB"/>
    <w:rPr>
      <w:vertAlign w:val="superscript"/>
    </w:rPr>
  </w:style>
  <w:style w:type="table" w:styleId="Stednmka3zvraznn2">
    <w:name w:val="Medium Grid 3 Accent 2"/>
    <w:basedOn w:val="Normlntabulka"/>
    <w:uiPriority w:val="69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2D2D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2D2D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E8E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E8E8" w:themeFill="accent2" w:themeFillTint="7F"/>
      </w:tcPr>
    </w:tblStylePr>
  </w:style>
  <w:style w:type="table" w:styleId="Stednmka2zvraznn5">
    <w:name w:val="Medium Grid 2 Accent 5"/>
    <w:basedOn w:val="Normlntabulka"/>
    <w:uiPriority w:val="68"/>
    <w:rsid w:val="00E073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F7F7F" w:themeColor="accent5"/>
        <w:left w:val="single" w:sz="8" w:space="0" w:color="7F7F7F" w:themeColor="accent5"/>
        <w:bottom w:val="single" w:sz="8" w:space="0" w:color="7F7F7F" w:themeColor="accent5"/>
        <w:right w:val="single" w:sz="8" w:space="0" w:color="7F7F7F" w:themeColor="accent5"/>
        <w:insideH w:val="single" w:sz="8" w:space="0" w:color="7F7F7F" w:themeColor="accent5"/>
        <w:insideV w:val="single" w:sz="8" w:space="0" w:color="7F7F7F" w:themeColor="accent5"/>
      </w:tblBorders>
    </w:tblPr>
    <w:tcPr>
      <w:shd w:val="clear" w:color="auto" w:fill="DFDF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5" w:themeFillTint="33"/>
      </w:tcPr>
    </w:tblStylePr>
    <w:tblStylePr w:type="band1Vert">
      <w:tblPr/>
      <w:tcPr>
        <w:shd w:val="clear" w:color="auto" w:fill="BFBFBF" w:themeFill="accent5" w:themeFillTint="7F"/>
      </w:tcPr>
    </w:tblStylePr>
    <w:tblStylePr w:type="band1Horz">
      <w:tblPr/>
      <w:tcPr>
        <w:tcBorders>
          <w:insideH w:val="single" w:sz="6" w:space="0" w:color="7F7F7F" w:themeColor="accent5"/>
          <w:insideV w:val="single" w:sz="6" w:space="0" w:color="7F7F7F" w:themeColor="accent5"/>
        </w:tcBorders>
        <w:shd w:val="clear" w:color="auto" w:fill="BFBFB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stnovn1zvraznn5">
    <w:name w:val="Medium Shading 1 Accent 5"/>
    <w:basedOn w:val="Normlntabulka"/>
    <w:uiPriority w:val="63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5" w:themeTint="BF"/>
        <w:left w:val="single" w:sz="8" w:space="0" w:color="9F9F9F" w:themeColor="accent5" w:themeTint="BF"/>
        <w:bottom w:val="single" w:sz="8" w:space="0" w:color="9F9F9F" w:themeColor="accent5" w:themeTint="BF"/>
        <w:right w:val="single" w:sz="8" w:space="0" w:color="9F9F9F" w:themeColor="accent5" w:themeTint="BF"/>
        <w:insideH w:val="single" w:sz="8" w:space="0" w:color="9F9F9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  <w:shd w:val="clear" w:color="auto" w:fill="7F7F7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mkazvraznn2">
    <w:name w:val="Light Grid Accent 2"/>
    <w:basedOn w:val="Normlntabulka"/>
    <w:uiPriority w:val="62"/>
    <w:rsid w:val="00573732"/>
    <w:pPr>
      <w:spacing w:after="0" w:line="240" w:lineRule="auto"/>
    </w:pPr>
    <w:tblPr>
      <w:tblStyleRowBandSize w:val="1"/>
      <w:tblStyleColBandSize w:val="1"/>
      <w:tblBorders>
        <w:top w:val="single" w:sz="8" w:space="0" w:color="D2D2D2" w:themeColor="accent2"/>
        <w:left w:val="single" w:sz="8" w:space="0" w:color="D2D2D2" w:themeColor="accent2"/>
        <w:bottom w:val="single" w:sz="8" w:space="0" w:color="D2D2D2" w:themeColor="accent2"/>
        <w:right w:val="single" w:sz="8" w:space="0" w:color="D2D2D2" w:themeColor="accent2"/>
        <w:insideH w:val="single" w:sz="8" w:space="0" w:color="D2D2D2" w:themeColor="accent2"/>
        <w:insideV w:val="single" w:sz="8" w:space="0" w:color="D2D2D2" w:themeColor="accent2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 w:val="0"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1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</w:tcPr>
    </w:tblStylePr>
    <w:tblStylePr w:type="band1Vert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  <w:shd w:val="clear" w:color="auto" w:fill="F3F3F3" w:themeFill="accent2" w:themeFillTint="3F"/>
      </w:tcPr>
    </w:tblStylePr>
    <w:tblStylePr w:type="band1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  <w:shd w:val="clear" w:color="auto" w:fill="F3F3F3" w:themeFill="accent2" w:themeFillTint="3F"/>
      </w:tcPr>
    </w:tblStylePr>
    <w:tblStylePr w:type="band2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</w:tcPr>
    </w:tblStylePr>
  </w:style>
  <w:style w:type="paragraph" w:customStyle="1" w:styleId="slovn5">
    <w:name w:val="Číslování 5"/>
    <w:basedOn w:val="slovn4"/>
    <w:link w:val="slovn5Char"/>
    <w:uiPriority w:val="5"/>
    <w:qFormat/>
    <w:rsid w:val="004D73F0"/>
    <w:pPr>
      <w:numPr>
        <w:ilvl w:val="4"/>
      </w:numPr>
    </w:pPr>
  </w:style>
  <w:style w:type="character" w:customStyle="1" w:styleId="slovn5Char">
    <w:name w:val="Číslování 5 Char"/>
    <w:basedOn w:val="slovn4Char"/>
    <w:link w:val="slovn5"/>
    <w:uiPriority w:val="5"/>
    <w:rsid w:val="004D73F0"/>
  </w:style>
  <w:style w:type="paragraph" w:customStyle="1" w:styleId="Odrky4">
    <w:name w:val="Odrážky 4"/>
    <w:basedOn w:val="Odrky3"/>
    <w:link w:val="Odrky4Char"/>
    <w:uiPriority w:val="5"/>
    <w:qFormat/>
    <w:rsid w:val="008053D8"/>
    <w:pPr>
      <w:numPr>
        <w:ilvl w:val="3"/>
      </w:numPr>
    </w:pPr>
  </w:style>
  <w:style w:type="character" w:customStyle="1" w:styleId="Odrky4Char">
    <w:name w:val="Odrážky 4 Char"/>
    <w:basedOn w:val="Odrky3Char"/>
    <w:link w:val="Odrky4"/>
    <w:uiPriority w:val="5"/>
    <w:rsid w:val="006D7FC5"/>
  </w:style>
  <w:style w:type="paragraph" w:customStyle="1" w:styleId="Odrky5">
    <w:name w:val="Odrážky 5"/>
    <w:basedOn w:val="Odrky4"/>
    <w:link w:val="Odrky5Char"/>
    <w:uiPriority w:val="5"/>
    <w:qFormat/>
    <w:rsid w:val="008053D8"/>
    <w:pPr>
      <w:numPr>
        <w:ilvl w:val="4"/>
      </w:numPr>
    </w:pPr>
  </w:style>
  <w:style w:type="character" w:customStyle="1" w:styleId="Odrky5Char">
    <w:name w:val="Odrážky 5 Char"/>
    <w:basedOn w:val="Odrky4Char"/>
    <w:link w:val="Odrky5"/>
    <w:uiPriority w:val="5"/>
    <w:rsid w:val="006D7FC5"/>
  </w:style>
  <w:style w:type="character" w:styleId="Siln">
    <w:name w:val="Strong"/>
    <w:aliases w:val="Tučné"/>
    <w:basedOn w:val="Standardnpsmoodstavce"/>
    <w:uiPriority w:val="22"/>
    <w:qFormat/>
    <w:rsid w:val="006D7FC5"/>
    <w:rPr>
      <w:b/>
      <w:bCs/>
    </w:rPr>
  </w:style>
  <w:style w:type="character" w:styleId="Zdraznn">
    <w:name w:val="Emphasis"/>
    <w:aliases w:val="Kurzíva"/>
    <w:basedOn w:val="Standardnpsmoodstavce"/>
    <w:uiPriority w:val="20"/>
    <w:qFormat/>
    <w:rsid w:val="006D7FC5"/>
    <w:rPr>
      <w:i/>
      <w:iCs/>
    </w:rPr>
  </w:style>
  <w:style w:type="table" w:styleId="Svtlmkazvraznn4">
    <w:name w:val="Light Grid Accent 4"/>
    <w:basedOn w:val="Normlntabulka"/>
    <w:uiPriority w:val="62"/>
    <w:rsid w:val="001819EE"/>
    <w:pPr>
      <w:spacing w:after="0" w:line="240" w:lineRule="auto"/>
    </w:pPr>
    <w:tblPr>
      <w:tblStyleRowBandSize w:val="1"/>
      <w:tblStyleColBandSize w:val="1"/>
      <w:tblBorders>
        <w:top w:val="single" w:sz="8" w:space="0" w:color="F5F5F5" w:themeColor="accent4"/>
        <w:left w:val="single" w:sz="8" w:space="0" w:color="F5F5F5" w:themeColor="accent4"/>
        <w:bottom w:val="single" w:sz="8" w:space="0" w:color="F5F5F5" w:themeColor="accent4"/>
        <w:right w:val="single" w:sz="8" w:space="0" w:color="F5F5F5" w:themeColor="accent4"/>
        <w:insideH w:val="single" w:sz="8" w:space="0" w:color="F5F5F5" w:themeColor="accent4"/>
        <w:insideV w:val="single" w:sz="8" w:space="0" w:color="F5F5F5" w:themeColor="accent4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1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</w:tcPr>
    </w:tblStylePr>
    <w:tblStylePr w:type="band1Vert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  <w:shd w:val="clear" w:color="auto" w:fill="FCFCFC" w:themeFill="accent4" w:themeFillTint="3F"/>
      </w:tcPr>
    </w:tblStylePr>
    <w:tblStylePr w:type="band1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  <w:shd w:val="clear" w:color="auto" w:fill="FCFCFC" w:themeFill="accent4" w:themeFillTint="3F"/>
      </w:tcPr>
    </w:tblStylePr>
    <w:tblStylePr w:type="band2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</w:tcPr>
    </w:tblStylePr>
  </w:style>
  <w:style w:type="paragraph" w:customStyle="1" w:styleId="Obrzek">
    <w:name w:val="Obrázek"/>
    <w:basedOn w:val="Normln"/>
    <w:next w:val="Normln"/>
    <w:link w:val="ObrzekChar"/>
    <w:uiPriority w:val="10"/>
    <w:qFormat/>
    <w:rsid w:val="00647088"/>
    <w:pPr>
      <w:keepNext/>
      <w:spacing w:after="110"/>
      <w:jc w:val="center"/>
    </w:pPr>
    <w:rPr>
      <w:noProof/>
      <w:lang w:eastAsia="cs-CZ"/>
    </w:rPr>
  </w:style>
  <w:style w:type="character" w:customStyle="1" w:styleId="ObrzekChar">
    <w:name w:val="Obrázek Char"/>
    <w:basedOn w:val="Standardnpsmoodstavce"/>
    <w:link w:val="Obrzek"/>
    <w:uiPriority w:val="10"/>
    <w:rsid w:val="00512C01"/>
    <w:rPr>
      <w:noProof/>
      <w:lang w:eastAsia="cs-CZ"/>
    </w:rPr>
  </w:style>
  <w:style w:type="paragraph" w:customStyle="1" w:styleId="Motto">
    <w:name w:val="Motto"/>
    <w:basedOn w:val="Normln"/>
    <w:link w:val="MottoChar"/>
    <w:uiPriority w:val="16"/>
    <w:qFormat/>
    <w:rsid w:val="00773D72"/>
    <w:pPr>
      <w:framePr w:wrap="around" w:vAnchor="page" w:hAnchor="page" w:x="710" w:y="4537"/>
      <w:spacing w:after="0"/>
      <w:suppressOverlap/>
    </w:pPr>
    <w:rPr>
      <w:b/>
      <w:sz w:val="32"/>
    </w:rPr>
  </w:style>
  <w:style w:type="character" w:customStyle="1" w:styleId="MottoChar">
    <w:name w:val="Motto Char"/>
    <w:basedOn w:val="Standardnpsmoodstavce"/>
    <w:link w:val="Motto"/>
    <w:uiPriority w:val="16"/>
    <w:rsid w:val="00773D72"/>
    <w:rPr>
      <w:b/>
      <w:color w:val="000000"/>
      <w:sz w:val="32"/>
    </w:rPr>
  </w:style>
  <w:style w:type="paragraph" w:customStyle="1" w:styleId="Zdroj">
    <w:name w:val="Zdroj"/>
    <w:basedOn w:val="Normln"/>
    <w:next w:val="Normln"/>
    <w:link w:val="ZdrojChar"/>
    <w:uiPriority w:val="9"/>
    <w:qFormat/>
    <w:rsid w:val="00C26A71"/>
    <w:pPr>
      <w:spacing w:before="110"/>
    </w:pPr>
    <w:rPr>
      <w:sz w:val="18"/>
    </w:rPr>
  </w:style>
  <w:style w:type="paragraph" w:customStyle="1" w:styleId="Zdrojobrzku">
    <w:name w:val="Zdroj obrázku"/>
    <w:basedOn w:val="Zdroj"/>
    <w:next w:val="Normln"/>
    <w:link w:val="ZdrojobrzkuChar"/>
    <w:uiPriority w:val="10"/>
    <w:qFormat/>
    <w:rsid w:val="00FC7F62"/>
    <w:pPr>
      <w:spacing w:before="60"/>
      <w:jc w:val="center"/>
    </w:pPr>
  </w:style>
  <w:style w:type="character" w:customStyle="1" w:styleId="ZdrojChar">
    <w:name w:val="Zdroj Char"/>
    <w:basedOn w:val="Standardnpsmoodstavce"/>
    <w:link w:val="Zdroj"/>
    <w:uiPriority w:val="9"/>
    <w:rsid w:val="00FC7F62"/>
    <w:rPr>
      <w:sz w:val="18"/>
    </w:rPr>
  </w:style>
  <w:style w:type="character" w:customStyle="1" w:styleId="ZdrojobrzkuChar">
    <w:name w:val="Zdroj obrázku Char"/>
    <w:basedOn w:val="ZdrojChar"/>
    <w:link w:val="Zdrojobrzku"/>
    <w:uiPriority w:val="10"/>
    <w:rsid w:val="00FC7F62"/>
    <w:rPr>
      <w:sz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2A326C"/>
    <w:rPr>
      <w:color w:val="50505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8548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548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5489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4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489"/>
    <w:rPr>
      <w:b/>
      <w:bCs/>
      <w:color w:val="000000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95774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3C286E"/>
    <w:pPr>
      <w:spacing w:after="0" w:line="240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Šedá">
      <a:dk1>
        <a:srgbClr val="000000"/>
      </a:dk1>
      <a:lt1>
        <a:sysClr val="window" lastClr="FFFFFF"/>
      </a:lt1>
      <a:dk2>
        <a:srgbClr val="000000"/>
      </a:dk2>
      <a:lt2>
        <a:srgbClr val="F8F8F8"/>
      </a:lt2>
      <a:accent1>
        <a:srgbClr val="505050"/>
      </a:accent1>
      <a:accent2>
        <a:srgbClr val="D2D2D2"/>
      </a:accent2>
      <a:accent3>
        <a:srgbClr val="6E6E6E"/>
      </a:accent3>
      <a:accent4>
        <a:srgbClr val="F5F5F5"/>
      </a:accent4>
      <a:accent5>
        <a:srgbClr val="7F7F7F"/>
      </a:accent5>
      <a:accent6>
        <a:srgbClr val="FFFFFF"/>
      </a:accent6>
      <a:hlink>
        <a:srgbClr val="505050"/>
      </a:hlink>
      <a:folHlink>
        <a:srgbClr val="50505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>W:\MONITORING_A_REPORTING\ZPRÁVY_VÝROČNÍ\2016_VZ_OPZ\VZ_OPZ_FINAL\schválená MV OPZ\Přílohy VZOPZ\Příloha1_VZOPZ2016_Prioritní_osy.docx</AC_OriginalFileNam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7" ma:contentTypeDescription="Vytvoří nový dokument" ma:contentTypeScope="" ma:versionID="f6f03f5b008ce72686bbcf691a7be2e8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a9a9eb159e242e6dec8d2b5b6c497589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3E266-8248-406E-93E9-FE1FADFAC66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dfed548f-0517-4d39-90e3-3947398480c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4BE1B8E-7146-4D14-A528-93800B965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DAC979-15D2-4337-BB71-89F589C563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68FBC6-0878-44DA-9198-3CCA01A0E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3248</Words>
  <Characters>19170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Blažejová Markéta (MPSV)</dc:creator>
  <cp:lastModifiedBy>Sogelová Adéla Ing. (MPSV)</cp:lastModifiedBy>
  <cp:revision>3</cp:revision>
  <cp:lastPrinted>2016-05-24T08:30:00Z</cp:lastPrinted>
  <dcterms:created xsi:type="dcterms:W3CDTF">2023-03-29T08:04:00Z</dcterms:created>
  <dcterms:modified xsi:type="dcterms:W3CDTF">2023-03-29T08:13:00Z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